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A8C" w:rsidRPr="00AC7971" w:rsidRDefault="006C1A8C" w:rsidP="006C1A8C">
      <w:pPr>
        <w:rPr>
          <w:rFonts w:cs="Calibri"/>
          <w:b/>
          <w:sz w:val="20"/>
          <w:szCs w:val="20"/>
        </w:rPr>
      </w:pPr>
    </w:p>
    <w:p w:rsidR="006C1A8C" w:rsidRPr="00AC7971" w:rsidRDefault="006C1A8C" w:rsidP="006C1A8C">
      <w:pPr>
        <w:rPr>
          <w:rFonts w:cs="Calibri"/>
          <w:b/>
          <w:sz w:val="20"/>
          <w:szCs w:val="20"/>
        </w:rPr>
      </w:pPr>
    </w:p>
    <w:p w:rsidR="006C1A8C" w:rsidRPr="00AC7971" w:rsidRDefault="006C1A8C" w:rsidP="006C1A8C">
      <w:pPr>
        <w:rPr>
          <w:rFonts w:cs="Calibri"/>
          <w:b/>
          <w:sz w:val="20"/>
          <w:szCs w:val="20"/>
        </w:rPr>
      </w:pPr>
    </w:p>
    <w:p w:rsidR="006C1A8C" w:rsidRPr="00AC7971" w:rsidRDefault="006C1A8C" w:rsidP="006C1A8C">
      <w:pPr>
        <w:autoSpaceDE w:val="0"/>
        <w:autoSpaceDN w:val="0"/>
        <w:adjustRightInd w:val="0"/>
        <w:spacing w:after="0"/>
        <w:jc w:val="center"/>
        <w:rPr>
          <w:rFonts w:cs="Calibri"/>
          <w:b/>
          <w:bCs/>
          <w:sz w:val="24"/>
          <w:lang w:eastAsia="nl-NL"/>
        </w:rPr>
      </w:pPr>
      <w:r w:rsidRPr="00AC7971">
        <w:rPr>
          <w:rFonts w:cs="Calibri"/>
          <w:b/>
          <w:bCs/>
          <w:sz w:val="24"/>
          <w:lang w:eastAsia="nl-NL"/>
        </w:rPr>
        <w:t>COMPETITIVENESS AND INNOVATION FRAMEWORK PROGRAMME</w:t>
      </w:r>
    </w:p>
    <w:p w:rsidR="006C1A8C" w:rsidRPr="00AC7971" w:rsidRDefault="006C1A8C" w:rsidP="006C1A8C">
      <w:pPr>
        <w:autoSpaceDE w:val="0"/>
        <w:autoSpaceDN w:val="0"/>
        <w:adjustRightInd w:val="0"/>
        <w:spacing w:after="0"/>
        <w:jc w:val="center"/>
        <w:rPr>
          <w:rFonts w:cs="Calibri"/>
          <w:b/>
          <w:bCs/>
          <w:sz w:val="24"/>
          <w:lang w:eastAsia="nl-NL"/>
        </w:rPr>
      </w:pPr>
      <w:r w:rsidRPr="00AC7971">
        <w:rPr>
          <w:rFonts w:cs="Calibri"/>
          <w:b/>
          <w:bCs/>
          <w:sz w:val="24"/>
          <w:lang w:eastAsia="nl-NL"/>
        </w:rPr>
        <w:t>ICT Policy Support Programme (ICT PSP)</w:t>
      </w:r>
    </w:p>
    <w:p w:rsidR="006C1A8C" w:rsidRPr="00AC7971" w:rsidRDefault="006C1A8C" w:rsidP="006C1A8C">
      <w:pPr>
        <w:rPr>
          <w:rFonts w:cs="Calibri"/>
          <w:b/>
          <w:bCs/>
          <w:sz w:val="20"/>
          <w:szCs w:val="20"/>
          <w:lang w:eastAsia="nl-NL"/>
        </w:rPr>
      </w:pPr>
    </w:p>
    <w:p w:rsidR="006C1A8C" w:rsidRPr="00AC7971" w:rsidRDefault="00A958F8" w:rsidP="006C1A8C">
      <w:pPr>
        <w:rPr>
          <w:rFonts w:cs="Calibri"/>
          <w:b/>
          <w:bCs/>
          <w:sz w:val="20"/>
          <w:szCs w:val="20"/>
          <w:lang w:eastAsia="nl-NL"/>
        </w:rPr>
      </w:pPr>
      <w:r>
        <w:rPr>
          <w:rFonts w:cs="Calibri"/>
          <w:b/>
          <w:noProof/>
          <w:sz w:val="20"/>
          <w:szCs w:val="20"/>
          <w:lang w:eastAsia="en-GB"/>
        </w:rPr>
        <w:drawing>
          <wp:inline distT="0" distB="0" distL="0" distR="0">
            <wp:extent cx="3712845" cy="1198245"/>
            <wp:effectExtent l="0" t="0" r="1905" b="1905"/>
            <wp:docPr id="48" name="Grafik 12" descr="Z:\dokumente\e-SENS\e-SENS l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Z:\dokumente\e-SENS\e-SENS lang.gif"/>
                    <pic:cNvPicPr>
                      <a:picLocks noChangeAspect="1" noChangeArrowheads="1"/>
                    </pic:cNvPicPr>
                  </pic:nvPicPr>
                  <pic:blipFill>
                    <a:blip r:embed="rId9">
                      <a:extLst>
                        <a:ext uri="{28A0092B-C50C-407E-A947-70E740481C1C}">
                          <a14:useLocalDpi xmlns:a14="http://schemas.microsoft.com/office/drawing/2010/main" val="0"/>
                        </a:ext>
                      </a:extLst>
                    </a:blip>
                    <a:srcRect l="5960" t="16589" r="21854" b="18433"/>
                    <a:stretch>
                      <a:fillRect/>
                    </a:stretch>
                  </pic:blipFill>
                  <pic:spPr bwMode="auto">
                    <a:xfrm>
                      <a:off x="0" y="0"/>
                      <a:ext cx="3712845" cy="1198245"/>
                    </a:xfrm>
                    <a:prstGeom prst="rect">
                      <a:avLst/>
                    </a:prstGeom>
                    <a:noFill/>
                    <a:ln>
                      <a:noFill/>
                    </a:ln>
                  </pic:spPr>
                </pic:pic>
              </a:graphicData>
            </a:graphic>
          </wp:inline>
        </w:drawing>
      </w:r>
    </w:p>
    <w:p w:rsidR="006C1A8C" w:rsidRPr="00AC7971" w:rsidRDefault="006C1A8C" w:rsidP="006C1A8C">
      <w:pPr>
        <w:rPr>
          <w:rFonts w:cs="Calibri"/>
          <w:b/>
          <w:bCs/>
          <w:sz w:val="20"/>
          <w:szCs w:val="20"/>
          <w:lang w:eastAsia="nl-NL"/>
        </w:rPr>
      </w:pPr>
      <w:r w:rsidRPr="00AC7971">
        <w:rPr>
          <w:rFonts w:cs="Calibri"/>
          <w:b/>
          <w:bCs/>
          <w:sz w:val="20"/>
          <w:szCs w:val="20"/>
          <w:lang w:eastAsia="nl-NL"/>
        </w:rPr>
        <w:t>Project acronym: e-SENS</w:t>
      </w:r>
    </w:p>
    <w:p w:rsidR="006C1A8C" w:rsidRPr="00AC7971" w:rsidRDefault="006C1A8C" w:rsidP="006C1A8C">
      <w:pPr>
        <w:rPr>
          <w:rFonts w:cs="Calibri"/>
          <w:b/>
          <w:bCs/>
          <w:sz w:val="20"/>
          <w:szCs w:val="20"/>
          <w:lang w:eastAsia="nl-NL"/>
        </w:rPr>
      </w:pPr>
      <w:r w:rsidRPr="00AC7971">
        <w:rPr>
          <w:rFonts w:cs="Calibri"/>
          <w:b/>
          <w:bCs/>
          <w:sz w:val="20"/>
          <w:szCs w:val="20"/>
          <w:lang w:eastAsia="nl-NL"/>
        </w:rPr>
        <w:t>Project full title: Electronic Simple European Networked Services</w:t>
      </w:r>
    </w:p>
    <w:p w:rsidR="006C1A8C" w:rsidRPr="00AC7971" w:rsidRDefault="006C1A8C" w:rsidP="006C1A8C">
      <w:pPr>
        <w:rPr>
          <w:rFonts w:cs="Calibri"/>
          <w:b/>
          <w:sz w:val="20"/>
          <w:szCs w:val="20"/>
          <w:lang w:eastAsia="nl-NL"/>
        </w:rPr>
      </w:pPr>
      <w:r w:rsidRPr="00AC7971">
        <w:rPr>
          <w:rFonts w:cs="Calibri"/>
          <w:b/>
          <w:sz w:val="20"/>
          <w:szCs w:val="20"/>
          <w:lang w:eastAsia="nl-NL"/>
        </w:rPr>
        <w:t>ICT PSP call identifier: CIP-ICT-PSP-2012-6</w:t>
      </w:r>
    </w:p>
    <w:p w:rsidR="006C1A8C" w:rsidRPr="00AC7971" w:rsidRDefault="006C1A8C" w:rsidP="006C1A8C">
      <w:pPr>
        <w:rPr>
          <w:rFonts w:cs="Calibri"/>
          <w:b/>
          <w:sz w:val="20"/>
          <w:szCs w:val="20"/>
          <w:lang w:eastAsia="nl-NL"/>
        </w:rPr>
      </w:pPr>
      <w:r w:rsidRPr="00AC7971">
        <w:rPr>
          <w:rFonts w:cs="Calibri"/>
          <w:b/>
          <w:sz w:val="20"/>
          <w:szCs w:val="20"/>
          <w:lang w:eastAsia="nl-NL"/>
        </w:rPr>
        <w:t>ICT PSP main theme identifier: CIP-ICT-PSP-2012-6-4.1</w:t>
      </w:r>
      <w:r w:rsidRPr="00AC7971">
        <w:rPr>
          <w:rFonts w:cs="Calibri"/>
          <w:b/>
          <w:bCs/>
          <w:sz w:val="20"/>
          <w:szCs w:val="20"/>
          <w:lang w:eastAsia="nl-NL"/>
        </w:rPr>
        <w:t xml:space="preserve"> Basic Cross Sector Services</w:t>
      </w:r>
    </w:p>
    <w:p w:rsidR="006C1A8C" w:rsidRPr="00AC7971" w:rsidRDefault="006C1A8C" w:rsidP="006C1A8C">
      <w:pPr>
        <w:rPr>
          <w:rFonts w:cs="Calibri"/>
          <w:b/>
          <w:bCs/>
          <w:sz w:val="20"/>
          <w:szCs w:val="20"/>
          <w:lang w:eastAsia="nl-NL"/>
        </w:rPr>
      </w:pPr>
      <w:r w:rsidRPr="00AC7971">
        <w:rPr>
          <w:rFonts w:cs="Calibri"/>
          <w:b/>
          <w:bCs/>
          <w:sz w:val="20"/>
          <w:szCs w:val="20"/>
          <w:lang w:eastAsia="nl-NL"/>
        </w:rPr>
        <w:t>Grant agreement n°: 325211</w:t>
      </w:r>
    </w:p>
    <w:p w:rsidR="006C1A8C" w:rsidRPr="00AC7971" w:rsidRDefault="006C1A8C" w:rsidP="006C1A8C">
      <w:pPr>
        <w:rPr>
          <w:rFonts w:cs="Calibri"/>
          <w:b/>
          <w:bCs/>
          <w:sz w:val="20"/>
          <w:szCs w:val="20"/>
          <w:lang w:eastAsia="nl-NL"/>
        </w:rPr>
      </w:pPr>
    </w:p>
    <w:p w:rsidR="006C1A8C" w:rsidRPr="00AC7971" w:rsidRDefault="006C1A8C" w:rsidP="006C1A8C">
      <w:pPr>
        <w:pBdr>
          <w:top w:val="single" w:sz="4" w:space="1" w:color="95B3D7"/>
          <w:left w:val="single" w:sz="4" w:space="4" w:color="95B3D7"/>
          <w:bottom w:val="single" w:sz="4" w:space="1" w:color="95B3D7"/>
          <w:right w:val="single" w:sz="4" w:space="4" w:color="95B3D7"/>
        </w:pBdr>
        <w:shd w:val="clear" w:color="auto" w:fill="DBE5F1"/>
        <w:jc w:val="center"/>
        <w:rPr>
          <w:color w:val="0F243E"/>
          <w:szCs w:val="28"/>
          <w:shd w:val="clear" w:color="auto" w:fill="C6D9F1"/>
        </w:rPr>
      </w:pPr>
      <w:r w:rsidRPr="00AC7971">
        <w:rPr>
          <w:color w:val="0F243E"/>
          <w:szCs w:val="28"/>
          <w:shd w:val="clear" w:color="auto" w:fill="C6D9F1"/>
        </w:rPr>
        <w:t>Trust Models: White Paper</w:t>
      </w:r>
    </w:p>
    <w:p w:rsidR="006C1A8C" w:rsidRPr="00AC7971" w:rsidRDefault="006C1A8C" w:rsidP="006C1A8C">
      <w:pPr>
        <w:rPr>
          <w:b/>
          <w:sz w:val="20"/>
          <w:szCs w:val="20"/>
        </w:rPr>
      </w:pPr>
    </w:p>
    <w:tbl>
      <w:tblPr>
        <w:tblW w:w="9248" w:type="dxa"/>
        <w:tblInd w:w="-34" w:type="dxa"/>
        <w:tblLayout w:type="fixed"/>
        <w:tblLook w:val="0000" w:firstRow="0" w:lastRow="0" w:firstColumn="0" w:lastColumn="0" w:noHBand="0" w:noVBand="0"/>
      </w:tblPr>
      <w:tblGrid>
        <w:gridCol w:w="4536"/>
        <w:gridCol w:w="4366"/>
        <w:gridCol w:w="346"/>
      </w:tblGrid>
      <w:tr w:rsidR="006C1A8C" w:rsidRPr="00AC7971" w:rsidTr="00C706B6">
        <w:tc>
          <w:tcPr>
            <w:tcW w:w="4712" w:type="dxa"/>
            <w:vAlign w:val="center"/>
          </w:tcPr>
          <w:p w:rsidR="006C1A8C" w:rsidRPr="00AC7971" w:rsidRDefault="006C1A8C" w:rsidP="00C706B6">
            <w:pPr>
              <w:widowControl w:val="0"/>
              <w:jc w:val="right"/>
              <w:rPr>
                <w:rFonts w:cs="Calibri"/>
                <w:sz w:val="20"/>
                <w:szCs w:val="20"/>
              </w:rPr>
            </w:pPr>
          </w:p>
        </w:tc>
        <w:tc>
          <w:tcPr>
            <w:tcW w:w="4536" w:type="dxa"/>
            <w:gridSpan w:val="2"/>
            <w:vAlign w:val="center"/>
          </w:tcPr>
          <w:p w:rsidR="006C1A8C" w:rsidRPr="00AC7971" w:rsidRDefault="006C1A8C" w:rsidP="00C706B6">
            <w:pPr>
              <w:widowControl w:val="0"/>
              <w:jc w:val="left"/>
              <w:rPr>
                <w:rFonts w:cs="Calibri"/>
                <w:sz w:val="20"/>
                <w:szCs w:val="20"/>
              </w:rPr>
            </w:pPr>
          </w:p>
        </w:tc>
      </w:tr>
      <w:tr w:rsidR="006C1A8C" w:rsidRPr="00AC7971" w:rsidTr="00C706B6">
        <w:tc>
          <w:tcPr>
            <w:tcW w:w="4712" w:type="dxa"/>
            <w:vAlign w:val="center"/>
          </w:tcPr>
          <w:p w:rsidR="006C1A8C" w:rsidRPr="00AC7971" w:rsidRDefault="006C1A8C" w:rsidP="00C706B6">
            <w:pPr>
              <w:widowControl w:val="0"/>
              <w:jc w:val="right"/>
              <w:rPr>
                <w:rFonts w:cs="Calibri"/>
                <w:sz w:val="20"/>
                <w:szCs w:val="20"/>
              </w:rPr>
            </w:pPr>
          </w:p>
        </w:tc>
        <w:tc>
          <w:tcPr>
            <w:tcW w:w="4536" w:type="dxa"/>
            <w:gridSpan w:val="2"/>
            <w:vAlign w:val="center"/>
          </w:tcPr>
          <w:p w:rsidR="006C1A8C" w:rsidRPr="00AC7971" w:rsidRDefault="006C1A8C" w:rsidP="00C706B6">
            <w:pPr>
              <w:widowControl w:val="0"/>
              <w:jc w:val="left"/>
              <w:rPr>
                <w:rFonts w:cs="Calibri"/>
                <w:sz w:val="20"/>
                <w:szCs w:val="20"/>
              </w:rPr>
            </w:pPr>
          </w:p>
        </w:tc>
      </w:tr>
      <w:tr w:rsidR="006C1A8C" w:rsidRPr="00AC7971" w:rsidTr="00C706B6">
        <w:trPr>
          <w:gridAfter w:val="1"/>
          <w:wAfter w:w="360" w:type="dxa"/>
        </w:trPr>
        <w:tc>
          <w:tcPr>
            <w:tcW w:w="4712" w:type="dxa"/>
            <w:vAlign w:val="center"/>
          </w:tcPr>
          <w:p w:rsidR="006C1A8C" w:rsidRPr="00AC7971" w:rsidRDefault="006C1A8C" w:rsidP="00C706B6">
            <w:pPr>
              <w:widowControl w:val="0"/>
              <w:jc w:val="right"/>
              <w:rPr>
                <w:rFonts w:cs="Calibri"/>
                <w:sz w:val="20"/>
                <w:szCs w:val="20"/>
              </w:rPr>
            </w:pPr>
          </w:p>
        </w:tc>
        <w:tc>
          <w:tcPr>
            <w:tcW w:w="4536" w:type="dxa"/>
            <w:vAlign w:val="center"/>
          </w:tcPr>
          <w:p w:rsidR="006C1A8C" w:rsidRPr="00AC7971" w:rsidRDefault="006C1A8C" w:rsidP="00C706B6">
            <w:pPr>
              <w:widowControl w:val="0"/>
              <w:jc w:val="left"/>
              <w:rPr>
                <w:rFonts w:cs="Calibri"/>
                <w:sz w:val="20"/>
                <w:szCs w:val="20"/>
              </w:rPr>
            </w:pPr>
          </w:p>
        </w:tc>
      </w:tr>
      <w:tr w:rsidR="006C1A8C" w:rsidRPr="00AC7971" w:rsidTr="00C706B6">
        <w:trPr>
          <w:gridAfter w:val="1"/>
          <w:wAfter w:w="360" w:type="dxa"/>
        </w:trPr>
        <w:tc>
          <w:tcPr>
            <w:tcW w:w="4712" w:type="dxa"/>
            <w:vAlign w:val="center"/>
          </w:tcPr>
          <w:p w:rsidR="006C1A8C" w:rsidRPr="00AC7971" w:rsidRDefault="006C1A8C" w:rsidP="00C706B6">
            <w:pPr>
              <w:widowControl w:val="0"/>
              <w:jc w:val="right"/>
              <w:rPr>
                <w:rFonts w:cs="Calibri"/>
                <w:sz w:val="20"/>
                <w:szCs w:val="20"/>
              </w:rPr>
            </w:pPr>
            <w:r w:rsidRPr="00AC7971">
              <w:rPr>
                <w:rFonts w:cs="Calibri"/>
                <w:sz w:val="20"/>
                <w:szCs w:val="20"/>
              </w:rPr>
              <w:t>Status :</w:t>
            </w:r>
          </w:p>
        </w:tc>
        <w:tc>
          <w:tcPr>
            <w:tcW w:w="4536" w:type="dxa"/>
            <w:vAlign w:val="center"/>
          </w:tcPr>
          <w:p w:rsidR="006C1A8C" w:rsidRPr="00AC7971" w:rsidRDefault="006C1A8C" w:rsidP="00A03195">
            <w:pPr>
              <w:widowControl w:val="0"/>
              <w:jc w:val="left"/>
              <w:rPr>
                <w:rFonts w:cs="Calibri"/>
                <w:sz w:val="20"/>
                <w:szCs w:val="20"/>
              </w:rPr>
            </w:pPr>
            <w:r w:rsidRPr="00AC7971">
              <w:rPr>
                <w:rFonts w:cs="Calibri"/>
                <w:sz w:val="20"/>
                <w:szCs w:val="20"/>
              </w:rPr>
              <w:t>Draft</w:t>
            </w:r>
            <w:r w:rsidR="005F2CE2">
              <w:rPr>
                <w:rFonts w:cs="Calibri"/>
                <w:sz w:val="20"/>
                <w:szCs w:val="20"/>
              </w:rPr>
              <w:t xml:space="preserve"> 0.</w:t>
            </w:r>
            <w:r w:rsidR="00A03195">
              <w:rPr>
                <w:rFonts w:cs="Calibri"/>
                <w:sz w:val="20"/>
                <w:szCs w:val="20"/>
              </w:rPr>
              <w:t>4</w:t>
            </w:r>
          </w:p>
        </w:tc>
      </w:tr>
      <w:tr w:rsidR="006C1A8C" w:rsidRPr="00AC7971" w:rsidTr="00C706B6">
        <w:trPr>
          <w:gridAfter w:val="1"/>
          <w:wAfter w:w="360" w:type="dxa"/>
          <w:trHeight w:val="491"/>
        </w:trPr>
        <w:tc>
          <w:tcPr>
            <w:tcW w:w="4712" w:type="dxa"/>
            <w:vAlign w:val="center"/>
          </w:tcPr>
          <w:p w:rsidR="006C1A8C" w:rsidRPr="00AC7971" w:rsidRDefault="006C1A8C" w:rsidP="00C706B6">
            <w:pPr>
              <w:widowControl w:val="0"/>
              <w:jc w:val="right"/>
              <w:rPr>
                <w:rFonts w:cs="Calibri"/>
                <w:sz w:val="20"/>
                <w:szCs w:val="20"/>
              </w:rPr>
            </w:pPr>
            <w:r w:rsidRPr="00AC7971">
              <w:rPr>
                <w:rFonts w:cs="Calibri"/>
                <w:sz w:val="20"/>
                <w:szCs w:val="20"/>
              </w:rPr>
              <w:t>Dissemination Level :</w:t>
            </w:r>
          </w:p>
        </w:tc>
        <w:tc>
          <w:tcPr>
            <w:tcW w:w="4536" w:type="dxa"/>
            <w:vAlign w:val="center"/>
          </w:tcPr>
          <w:p w:rsidR="006C1A8C" w:rsidRPr="00AC7971" w:rsidRDefault="006C1A8C" w:rsidP="00C706B6">
            <w:pPr>
              <w:widowControl w:val="0"/>
              <w:jc w:val="left"/>
              <w:rPr>
                <w:rFonts w:cs="Calibri"/>
                <w:sz w:val="20"/>
                <w:szCs w:val="20"/>
              </w:rPr>
            </w:pPr>
            <w:r w:rsidRPr="00AC7971">
              <w:rPr>
                <w:rFonts w:cs="Calibri"/>
                <w:sz w:val="20"/>
                <w:szCs w:val="20"/>
              </w:rPr>
              <w:t>Project internal</w:t>
            </w:r>
          </w:p>
        </w:tc>
      </w:tr>
      <w:tr w:rsidR="006C1A8C" w:rsidRPr="00AC7971" w:rsidTr="00C706B6">
        <w:trPr>
          <w:gridAfter w:val="1"/>
          <w:wAfter w:w="360" w:type="dxa"/>
        </w:trPr>
        <w:tc>
          <w:tcPr>
            <w:tcW w:w="4712" w:type="dxa"/>
            <w:vAlign w:val="center"/>
          </w:tcPr>
          <w:p w:rsidR="006C1A8C" w:rsidRPr="00AC7971" w:rsidRDefault="006C1A8C" w:rsidP="00C706B6">
            <w:pPr>
              <w:widowControl w:val="0"/>
              <w:jc w:val="right"/>
              <w:rPr>
                <w:rFonts w:cs="Calibri"/>
                <w:sz w:val="20"/>
                <w:szCs w:val="20"/>
              </w:rPr>
            </w:pPr>
          </w:p>
        </w:tc>
        <w:tc>
          <w:tcPr>
            <w:tcW w:w="4536" w:type="dxa"/>
            <w:vAlign w:val="center"/>
          </w:tcPr>
          <w:p w:rsidR="006C1A8C" w:rsidRPr="00AC7971" w:rsidRDefault="006C1A8C" w:rsidP="00C706B6">
            <w:pPr>
              <w:widowControl w:val="0"/>
              <w:jc w:val="left"/>
              <w:rPr>
                <w:rFonts w:cs="Calibri"/>
                <w:sz w:val="20"/>
                <w:szCs w:val="20"/>
              </w:rPr>
            </w:pPr>
          </w:p>
        </w:tc>
      </w:tr>
      <w:tr w:rsidR="006C1A8C" w:rsidRPr="00AC7971" w:rsidTr="00C706B6">
        <w:trPr>
          <w:gridAfter w:val="1"/>
          <w:wAfter w:w="360" w:type="dxa"/>
        </w:trPr>
        <w:tc>
          <w:tcPr>
            <w:tcW w:w="4712" w:type="dxa"/>
            <w:vAlign w:val="center"/>
          </w:tcPr>
          <w:p w:rsidR="006C1A8C" w:rsidRPr="00AC7971" w:rsidRDefault="006C1A8C" w:rsidP="00C706B6">
            <w:pPr>
              <w:widowControl w:val="0"/>
              <w:jc w:val="right"/>
              <w:rPr>
                <w:rFonts w:cs="Calibri"/>
                <w:sz w:val="20"/>
                <w:szCs w:val="20"/>
              </w:rPr>
            </w:pPr>
          </w:p>
        </w:tc>
        <w:tc>
          <w:tcPr>
            <w:tcW w:w="4536" w:type="dxa"/>
            <w:vAlign w:val="center"/>
          </w:tcPr>
          <w:p w:rsidR="006C1A8C" w:rsidRPr="00AC7971" w:rsidRDefault="006C1A8C" w:rsidP="00C706B6">
            <w:pPr>
              <w:widowControl w:val="0"/>
              <w:jc w:val="left"/>
              <w:rPr>
                <w:rFonts w:cs="Calibri"/>
                <w:sz w:val="20"/>
                <w:szCs w:val="20"/>
              </w:rPr>
            </w:pPr>
          </w:p>
        </w:tc>
      </w:tr>
      <w:tr w:rsidR="006C1A8C" w:rsidRPr="00AC7971" w:rsidTr="00C706B6">
        <w:trPr>
          <w:gridAfter w:val="1"/>
          <w:wAfter w:w="360" w:type="dxa"/>
        </w:trPr>
        <w:tc>
          <w:tcPr>
            <w:tcW w:w="4712" w:type="dxa"/>
            <w:vAlign w:val="center"/>
          </w:tcPr>
          <w:p w:rsidR="006C1A8C" w:rsidRPr="00AC7971" w:rsidRDefault="006C1A8C" w:rsidP="00C706B6">
            <w:pPr>
              <w:widowControl w:val="0"/>
              <w:jc w:val="right"/>
              <w:rPr>
                <w:rFonts w:cs="Calibri"/>
                <w:sz w:val="20"/>
                <w:szCs w:val="20"/>
              </w:rPr>
            </w:pPr>
            <w:r w:rsidRPr="00AC7971">
              <w:rPr>
                <w:rFonts w:cs="Calibri"/>
                <w:sz w:val="20"/>
                <w:szCs w:val="20"/>
              </w:rPr>
              <w:t>Work Package :</w:t>
            </w:r>
          </w:p>
        </w:tc>
        <w:tc>
          <w:tcPr>
            <w:tcW w:w="4536" w:type="dxa"/>
            <w:vAlign w:val="center"/>
          </w:tcPr>
          <w:p w:rsidR="006C1A8C" w:rsidRPr="00AC7971" w:rsidRDefault="006C1A8C" w:rsidP="00C706B6">
            <w:pPr>
              <w:widowControl w:val="0"/>
              <w:jc w:val="left"/>
              <w:rPr>
                <w:rFonts w:cs="Calibri"/>
                <w:sz w:val="20"/>
                <w:szCs w:val="20"/>
              </w:rPr>
            </w:pPr>
            <w:r w:rsidRPr="00AC7971">
              <w:rPr>
                <w:rFonts w:cs="Calibri"/>
                <w:sz w:val="20"/>
                <w:szCs w:val="20"/>
              </w:rPr>
              <w:t>WP6</w:t>
            </w:r>
          </w:p>
        </w:tc>
      </w:tr>
      <w:tr w:rsidR="006C1A8C" w:rsidRPr="00AC7971" w:rsidTr="00C706B6">
        <w:trPr>
          <w:gridAfter w:val="1"/>
          <w:wAfter w:w="360" w:type="dxa"/>
        </w:trPr>
        <w:tc>
          <w:tcPr>
            <w:tcW w:w="4712" w:type="dxa"/>
            <w:vAlign w:val="center"/>
          </w:tcPr>
          <w:p w:rsidR="006C1A8C" w:rsidRPr="00AC7971" w:rsidRDefault="006C1A8C" w:rsidP="00C706B6">
            <w:pPr>
              <w:widowControl w:val="0"/>
              <w:jc w:val="right"/>
              <w:rPr>
                <w:rFonts w:cs="Calibri"/>
                <w:sz w:val="20"/>
                <w:szCs w:val="20"/>
              </w:rPr>
            </w:pPr>
            <w:r w:rsidRPr="00AC7971">
              <w:rPr>
                <w:rFonts w:cs="Calibri"/>
                <w:sz w:val="20"/>
                <w:szCs w:val="20"/>
              </w:rPr>
              <w:t>Organisation name of lead partner for this deliverable :</w:t>
            </w:r>
          </w:p>
        </w:tc>
        <w:tc>
          <w:tcPr>
            <w:tcW w:w="4536" w:type="dxa"/>
            <w:vAlign w:val="center"/>
          </w:tcPr>
          <w:p w:rsidR="006C1A8C" w:rsidRPr="00AC7971" w:rsidRDefault="006C1A8C" w:rsidP="00C706B6">
            <w:pPr>
              <w:widowControl w:val="0"/>
              <w:jc w:val="left"/>
              <w:rPr>
                <w:rFonts w:cs="Calibri"/>
                <w:sz w:val="20"/>
                <w:szCs w:val="20"/>
              </w:rPr>
            </w:pPr>
            <w:r w:rsidRPr="00AC7971">
              <w:rPr>
                <w:rFonts w:cs="Calibri"/>
                <w:sz w:val="20"/>
                <w:szCs w:val="20"/>
              </w:rPr>
              <w:t>Governikus KG, Germany</w:t>
            </w:r>
          </w:p>
        </w:tc>
      </w:tr>
      <w:tr w:rsidR="006C1A8C" w:rsidRPr="00AC7971" w:rsidTr="00C706B6">
        <w:trPr>
          <w:gridAfter w:val="1"/>
          <w:wAfter w:w="360" w:type="dxa"/>
        </w:trPr>
        <w:tc>
          <w:tcPr>
            <w:tcW w:w="4712" w:type="dxa"/>
            <w:vAlign w:val="center"/>
          </w:tcPr>
          <w:p w:rsidR="006C1A8C" w:rsidRPr="00AC7971" w:rsidRDefault="006C1A8C" w:rsidP="00C706B6">
            <w:pPr>
              <w:widowControl w:val="0"/>
              <w:jc w:val="right"/>
              <w:rPr>
                <w:rFonts w:cs="Calibri"/>
                <w:sz w:val="20"/>
                <w:szCs w:val="20"/>
              </w:rPr>
            </w:pPr>
            <w:r w:rsidRPr="00AC7971">
              <w:rPr>
                <w:rFonts w:cs="Calibri"/>
                <w:sz w:val="20"/>
                <w:szCs w:val="20"/>
              </w:rPr>
              <w:t>Author(s):</w:t>
            </w:r>
          </w:p>
        </w:tc>
        <w:tc>
          <w:tcPr>
            <w:tcW w:w="4536" w:type="dxa"/>
            <w:vAlign w:val="center"/>
          </w:tcPr>
          <w:p w:rsidR="006C1A8C" w:rsidRPr="00AC7971" w:rsidRDefault="006C1A8C" w:rsidP="00C706B6">
            <w:pPr>
              <w:widowControl w:val="0"/>
              <w:jc w:val="left"/>
              <w:rPr>
                <w:rFonts w:cs="Calibri"/>
                <w:sz w:val="20"/>
                <w:szCs w:val="20"/>
              </w:rPr>
            </w:pPr>
            <w:r w:rsidRPr="00AC7971">
              <w:rPr>
                <w:rFonts w:cs="Calibri"/>
                <w:sz w:val="20"/>
                <w:szCs w:val="20"/>
              </w:rPr>
              <w:t>Jörg Apitzsch</w:t>
            </w:r>
          </w:p>
        </w:tc>
      </w:tr>
      <w:tr w:rsidR="006C1A8C" w:rsidRPr="00AC7971" w:rsidTr="00C706B6">
        <w:trPr>
          <w:gridAfter w:val="1"/>
          <w:wAfter w:w="360" w:type="dxa"/>
        </w:trPr>
        <w:tc>
          <w:tcPr>
            <w:tcW w:w="4712" w:type="dxa"/>
            <w:vAlign w:val="center"/>
          </w:tcPr>
          <w:p w:rsidR="006C1A8C" w:rsidRPr="00AC7971" w:rsidRDefault="006C1A8C" w:rsidP="00C706B6">
            <w:pPr>
              <w:widowControl w:val="0"/>
              <w:jc w:val="right"/>
              <w:rPr>
                <w:rFonts w:cs="Calibri"/>
                <w:sz w:val="20"/>
                <w:szCs w:val="20"/>
              </w:rPr>
            </w:pPr>
            <w:r w:rsidRPr="00AC7971">
              <w:rPr>
                <w:rFonts w:cs="Calibri"/>
                <w:sz w:val="20"/>
                <w:szCs w:val="20"/>
              </w:rPr>
              <w:t>Partner(s) contributing :</w:t>
            </w:r>
          </w:p>
        </w:tc>
        <w:tc>
          <w:tcPr>
            <w:tcW w:w="4536" w:type="dxa"/>
            <w:vAlign w:val="center"/>
          </w:tcPr>
          <w:p w:rsidR="006C1A8C" w:rsidRPr="00AC7971" w:rsidRDefault="004A417C" w:rsidP="004A417C">
            <w:pPr>
              <w:widowControl w:val="0"/>
              <w:jc w:val="left"/>
              <w:rPr>
                <w:rFonts w:cs="Calibri"/>
                <w:sz w:val="20"/>
                <w:szCs w:val="20"/>
              </w:rPr>
            </w:pPr>
            <w:r w:rsidRPr="004A417C">
              <w:rPr>
                <w:rFonts w:ascii="Tahoma" w:hAnsi="Tahoma" w:cs="Tahoma"/>
                <w:color w:val="404040"/>
                <w:sz w:val="16"/>
                <w:szCs w:val="16"/>
              </w:rPr>
              <w:t>Elif ÜSTÜNDAĞ SOYKAN</w:t>
            </w:r>
            <w:r>
              <w:rPr>
                <w:rFonts w:ascii="Tahoma" w:hAnsi="Tahoma" w:cs="Tahoma"/>
                <w:b/>
                <w:bCs/>
                <w:color w:val="CC0000"/>
                <w:sz w:val="16"/>
                <w:szCs w:val="16"/>
              </w:rPr>
              <w:t xml:space="preserve">, </w:t>
            </w:r>
            <w:r>
              <w:rPr>
                <w:rFonts w:ascii="Tahoma" w:hAnsi="Tahoma" w:cs="Tahoma"/>
                <w:color w:val="404040"/>
                <w:sz w:val="16"/>
                <w:szCs w:val="16"/>
              </w:rPr>
              <w:t>TÜBİTAK</w:t>
            </w:r>
            <w:r>
              <w:rPr>
                <w:rFonts w:ascii="Tahoma" w:hAnsi="Tahoma" w:cs="Tahoma"/>
                <w:b/>
                <w:bCs/>
                <w:color w:val="CC0000"/>
                <w:sz w:val="16"/>
                <w:szCs w:val="16"/>
              </w:rPr>
              <w:t xml:space="preserve"> </w:t>
            </w:r>
          </w:p>
        </w:tc>
      </w:tr>
    </w:tbl>
    <w:p w:rsidR="006C1A8C" w:rsidRPr="00AC7971" w:rsidRDefault="006C1A8C" w:rsidP="006C1A8C">
      <w:pPr>
        <w:widowControl w:val="0"/>
        <w:spacing w:after="0"/>
        <w:jc w:val="center"/>
        <w:rPr>
          <w:rFonts w:cs="Calibri"/>
          <w:b/>
          <w:color w:val="0F243E"/>
          <w:sz w:val="18"/>
        </w:rPr>
      </w:pPr>
    </w:p>
    <w:p w:rsidR="006C1A8C" w:rsidRPr="00AC7971" w:rsidRDefault="006C1A8C" w:rsidP="006C1A8C">
      <w:pPr>
        <w:pBdr>
          <w:top w:val="single" w:sz="4" w:space="1" w:color="95B3D7"/>
          <w:left w:val="single" w:sz="4" w:space="4" w:color="95B3D7"/>
          <w:bottom w:val="single" w:sz="4" w:space="1" w:color="95B3D7"/>
          <w:right w:val="single" w:sz="4" w:space="4" w:color="95B3D7"/>
        </w:pBdr>
        <w:shd w:val="clear" w:color="auto" w:fill="DBE5F1"/>
        <w:jc w:val="left"/>
        <w:rPr>
          <w:b/>
          <w:color w:val="0F243E"/>
          <w:sz w:val="20"/>
          <w:szCs w:val="20"/>
        </w:rPr>
      </w:pPr>
      <w:r w:rsidRPr="00AC7971">
        <w:rPr>
          <w:b/>
          <w:color w:val="0F243E"/>
          <w:sz w:val="20"/>
          <w:szCs w:val="20"/>
        </w:rPr>
        <w:t>Abstract:</w:t>
      </w:r>
    </w:p>
    <w:p w:rsidR="006C1A8C" w:rsidRPr="00AC7971" w:rsidRDefault="006C1A8C" w:rsidP="006C1A8C">
      <w:pPr>
        <w:pBdr>
          <w:top w:val="single" w:sz="4" w:space="1" w:color="95B3D7"/>
          <w:left w:val="single" w:sz="4" w:space="4" w:color="95B3D7"/>
          <w:bottom w:val="single" w:sz="4" w:space="1" w:color="95B3D7"/>
          <w:right w:val="single" w:sz="4" w:space="4" w:color="95B3D7"/>
        </w:pBdr>
        <w:shd w:val="clear" w:color="auto" w:fill="DBE5F1"/>
        <w:jc w:val="left"/>
        <w:rPr>
          <w:b/>
          <w:color w:val="0F243E"/>
          <w:sz w:val="20"/>
          <w:szCs w:val="20"/>
        </w:rPr>
      </w:pPr>
      <w:r w:rsidRPr="00AC7971">
        <w:rPr>
          <w:b/>
          <w:color w:val="0F243E"/>
          <w:sz w:val="20"/>
          <w:szCs w:val="20"/>
        </w:rPr>
        <w:t>Options for Trust Circle establishment:</w:t>
      </w:r>
    </w:p>
    <w:p w:rsidR="006C1A8C" w:rsidRPr="00AC7971" w:rsidRDefault="006C1A8C" w:rsidP="006C1A8C">
      <w:pPr>
        <w:pBdr>
          <w:top w:val="single" w:sz="4" w:space="1" w:color="95B3D7"/>
          <w:left w:val="single" w:sz="4" w:space="4" w:color="95B3D7"/>
          <w:bottom w:val="single" w:sz="4" w:space="1" w:color="95B3D7"/>
          <w:right w:val="single" w:sz="4" w:space="4" w:color="95B3D7"/>
        </w:pBdr>
        <w:shd w:val="clear" w:color="auto" w:fill="DBE5F1"/>
        <w:ind w:firstLine="708"/>
        <w:jc w:val="left"/>
        <w:rPr>
          <w:b/>
          <w:color w:val="0F243E"/>
          <w:sz w:val="20"/>
          <w:szCs w:val="20"/>
        </w:rPr>
      </w:pPr>
      <w:r w:rsidRPr="00AC7971">
        <w:rPr>
          <w:b/>
          <w:color w:val="0F243E"/>
          <w:sz w:val="20"/>
          <w:szCs w:val="20"/>
        </w:rPr>
        <w:t>- Overview on Trust Models to be established on central or piloting domain level</w:t>
      </w:r>
    </w:p>
    <w:p w:rsidR="006C1A8C" w:rsidRPr="00AC7971" w:rsidRDefault="006C1A8C" w:rsidP="006C1A8C">
      <w:pPr>
        <w:pBdr>
          <w:top w:val="single" w:sz="4" w:space="1" w:color="95B3D7"/>
          <w:left w:val="single" w:sz="4" w:space="4" w:color="95B3D7"/>
          <w:bottom w:val="single" w:sz="4" w:space="1" w:color="95B3D7"/>
          <w:right w:val="single" w:sz="4" w:space="4" w:color="95B3D7"/>
        </w:pBdr>
        <w:shd w:val="clear" w:color="auto" w:fill="DBE5F1"/>
        <w:ind w:firstLine="708"/>
        <w:jc w:val="left"/>
        <w:rPr>
          <w:b/>
          <w:color w:val="0F243E"/>
          <w:sz w:val="20"/>
          <w:szCs w:val="20"/>
        </w:rPr>
      </w:pPr>
      <w:r w:rsidRPr="00AC7971">
        <w:rPr>
          <w:b/>
          <w:color w:val="0F243E"/>
          <w:sz w:val="20"/>
          <w:szCs w:val="20"/>
        </w:rPr>
        <w:t xml:space="preserve">- Applicability estimation </w:t>
      </w:r>
    </w:p>
    <w:p w:rsidR="006C1A8C" w:rsidRPr="00AC7971" w:rsidRDefault="006C1A8C" w:rsidP="006C1A8C">
      <w:pPr>
        <w:rPr>
          <w:b/>
          <w:sz w:val="20"/>
          <w:szCs w:val="20"/>
        </w:rPr>
      </w:pPr>
    </w:p>
    <w:p w:rsidR="006C1A8C" w:rsidRPr="00AC7971" w:rsidRDefault="006C1A8C" w:rsidP="006C1A8C">
      <w:pPr>
        <w:rPr>
          <w:b/>
        </w:rPr>
      </w:pPr>
    </w:p>
    <w:p w:rsidR="006C1A8C" w:rsidRPr="00AC7971" w:rsidRDefault="006C1A8C" w:rsidP="006C1A8C">
      <w:pPr>
        <w:rPr>
          <w:b/>
        </w:rPr>
      </w:pPr>
    </w:p>
    <w:p w:rsidR="006C1A8C" w:rsidRPr="00AC7971" w:rsidRDefault="006C1A8C" w:rsidP="006C1A8C">
      <w:pPr>
        <w:rPr>
          <w:b/>
        </w:rPr>
      </w:pPr>
    </w:p>
    <w:sdt>
      <w:sdtPr>
        <w:rPr>
          <w:rFonts w:ascii="Calibri" w:eastAsia="Times New Roman" w:hAnsi="Calibri" w:cs="Times New Roman"/>
          <w:b w:val="0"/>
          <w:bCs w:val="0"/>
          <w:color w:val="auto"/>
          <w:sz w:val="22"/>
          <w:szCs w:val="24"/>
          <w:lang w:val="de-DE" w:eastAsia="en-US"/>
        </w:rPr>
        <w:id w:val="424533125"/>
        <w:docPartObj>
          <w:docPartGallery w:val="Table of Contents"/>
          <w:docPartUnique/>
        </w:docPartObj>
      </w:sdtPr>
      <w:sdtContent>
        <w:p w:rsidR="00792F05" w:rsidRDefault="00792F05">
          <w:pPr>
            <w:pStyle w:val="Inhaltsverzeichnisberschrift"/>
          </w:pPr>
          <w:r>
            <w:rPr>
              <w:lang w:val="de-DE"/>
            </w:rPr>
            <w:t>Contents</w:t>
          </w:r>
        </w:p>
        <w:p w:rsidR="00761652" w:rsidRDefault="00792F05">
          <w:pPr>
            <w:pStyle w:val="Verzeichnis1"/>
            <w:tabs>
              <w:tab w:val="right" w:leader="dot" w:pos="9060"/>
            </w:tabs>
            <w:rPr>
              <w:rFonts w:asciiTheme="minorHAnsi" w:eastAsiaTheme="minorEastAsia" w:hAnsiTheme="minorHAnsi" w:cstheme="minorBidi"/>
              <w:b w:val="0"/>
              <w:bCs w:val="0"/>
              <w:caps w:val="0"/>
              <w:noProof/>
              <w:szCs w:val="22"/>
              <w:lang w:eastAsia="en-GB"/>
            </w:rPr>
          </w:pPr>
          <w:r>
            <w:fldChar w:fldCharType="begin"/>
          </w:r>
          <w:r>
            <w:instrText xml:space="preserve"> TOC \o "1-3" \h \z \u </w:instrText>
          </w:r>
          <w:r>
            <w:fldChar w:fldCharType="separate"/>
          </w:r>
          <w:hyperlink w:anchor="_Toc411578950" w:history="1">
            <w:r w:rsidR="00761652" w:rsidRPr="0028231F">
              <w:rPr>
                <w:rStyle w:val="Hyperlink"/>
                <w:noProof/>
              </w:rPr>
              <w:t>History</w:t>
            </w:r>
            <w:r w:rsidR="00761652">
              <w:rPr>
                <w:noProof/>
                <w:webHidden/>
              </w:rPr>
              <w:tab/>
            </w:r>
            <w:r w:rsidR="00761652">
              <w:rPr>
                <w:noProof/>
                <w:webHidden/>
              </w:rPr>
              <w:fldChar w:fldCharType="begin"/>
            </w:r>
            <w:r w:rsidR="00761652">
              <w:rPr>
                <w:noProof/>
                <w:webHidden/>
              </w:rPr>
              <w:instrText xml:space="preserve"> PAGEREF _Toc411578950 \h </w:instrText>
            </w:r>
            <w:r w:rsidR="00761652">
              <w:rPr>
                <w:noProof/>
                <w:webHidden/>
              </w:rPr>
            </w:r>
            <w:r w:rsidR="00761652">
              <w:rPr>
                <w:noProof/>
                <w:webHidden/>
              </w:rPr>
              <w:fldChar w:fldCharType="separate"/>
            </w:r>
            <w:r w:rsidR="00761652">
              <w:rPr>
                <w:noProof/>
                <w:webHidden/>
              </w:rPr>
              <w:t>3</w:t>
            </w:r>
            <w:r w:rsidR="00761652">
              <w:rPr>
                <w:noProof/>
                <w:webHidden/>
              </w:rPr>
              <w:fldChar w:fldCharType="end"/>
            </w:r>
          </w:hyperlink>
        </w:p>
        <w:p w:rsidR="00761652" w:rsidRDefault="00761652">
          <w:pPr>
            <w:pStyle w:val="Verzeichnis1"/>
            <w:tabs>
              <w:tab w:val="right" w:leader="dot" w:pos="9060"/>
            </w:tabs>
            <w:rPr>
              <w:rFonts w:asciiTheme="minorHAnsi" w:eastAsiaTheme="minorEastAsia" w:hAnsiTheme="minorHAnsi" w:cstheme="minorBidi"/>
              <w:b w:val="0"/>
              <w:bCs w:val="0"/>
              <w:caps w:val="0"/>
              <w:noProof/>
              <w:szCs w:val="22"/>
              <w:lang w:eastAsia="en-GB"/>
            </w:rPr>
          </w:pPr>
          <w:hyperlink w:anchor="_Toc411578951" w:history="1">
            <w:r w:rsidRPr="0028231F">
              <w:rPr>
                <w:rStyle w:val="Hyperlink"/>
                <w:noProof/>
              </w:rPr>
              <w:t>Disclaimer</w:t>
            </w:r>
            <w:r>
              <w:rPr>
                <w:noProof/>
                <w:webHidden/>
              </w:rPr>
              <w:tab/>
            </w:r>
            <w:r>
              <w:rPr>
                <w:noProof/>
                <w:webHidden/>
              </w:rPr>
              <w:fldChar w:fldCharType="begin"/>
            </w:r>
            <w:r>
              <w:rPr>
                <w:noProof/>
                <w:webHidden/>
              </w:rPr>
              <w:instrText xml:space="preserve"> PAGEREF _Toc411578951 \h </w:instrText>
            </w:r>
            <w:r>
              <w:rPr>
                <w:noProof/>
                <w:webHidden/>
              </w:rPr>
            </w:r>
            <w:r>
              <w:rPr>
                <w:noProof/>
                <w:webHidden/>
              </w:rPr>
              <w:fldChar w:fldCharType="separate"/>
            </w:r>
            <w:r>
              <w:rPr>
                <w:noProof/>
                <w:webHidden/>
              </w:rPr>
              <w:t>3</w:t>
            </w:r>
            <w:r>
              <w:rPr>
                <w:noProof/>
                <w:webHidden/>
              </w:rPr>
              <w:fldChar w:fldCharType="end"/>
            </w:r>
          </w:hyperlink>
        </w:p>
        <w:p w:rsidR="00761652" w:rsidRDefault="00761652">
          <w:pPr>
            <w:pStyle w:val="Verzeichnis1"/>
            <w:tabs>
              <w:tab w:val="left" w:pos="480"/>
              <w:tab w:val="right" w:leader="dot" w:pos="9060"/>
            </w:tabs>
            <w:rPr>
              <w:rFonts w:asciiTheme="minorHAnsi" w:eastAsiaTheme="minorEastAsia" w:hAnsiTheme="minorHAnsi" w:cstheme="minorBidi"/>
              <w:b w:val="0"/>
              <w:bCs w:val="0"/>
              <w:caps w:val="0"/>
              <w:noProof/>
              <w:szCs w:val="22"/>
              <w:lang w:eastAsia="en-GB"/>
            </w:rPr>
          </w:pPr>
          <w:hyperlink w:anchor="_Toc411578952" w:history="1">
            <w:r w:rsidRPr="0028231F">
              <w:rPr>
                <w:rStyle w:val="Hyperlink"/>
                <w:noProof/>
              </w:rPr>
              <w:t>1.</w:t>
            </w:r>
            <w:r>
              <w:rPr>
                <w:rFonts w:asciiTheme="minorHAnsi" w:eastAsiaTheme="minorEastAsia" w:hAnsiTheme="minorHAnsi" w:cstheme="minorBidi"/>
                <w:b w:val="0"/>
                <w:bCs w:val="0"/>
                <w:caps w:val="0"/>
                <w:noProof/>
                <w:szCs w:val="22"/>
                <w:lang w:eastAsia="en-GB"/>
              </w:rPr>
              <w:tab/>
            </w:r>
            <w:r w:rsidRPr="0028231F">
              <w:rPr>
                <w:rStyle w:val="Hyperlink"/>
                <w:noProof/>
              </w:rPr>
              <w:t>Aims and Scope</w:t>
            </w:r>
            <w:r>
              <w:rPr>
                <w:noProof/>
                <w:webHidden/>
              </w:rPr>
              <w:tab/>
            </w:r>
            <w:r>
              <w:rPr>
                <w:noProof/>
                <w:webHidden/>
              </w:rPr>
              <w:fldChar w:fldCharType="begin"/>
            </w:r>
            <w:r>
              <w:rPr>
                <w:noProof/>
                <w:webHidden/>
              </w:rPr>
              <w:instrText xml:space="preserve"> PAGEREF _Toc411578952 \h </w:instrText>
            </w:r>
            <w:r>
              <w:rPr>
                <w:noProof/>
                <w:webHidden/>
              </w:rPr>
            </w:r>
            <w:r>
              <w:rPr>
                <w:noProof/>
                <w:webHidden/>
              </w:rPr>
              <w:fldChar w:fldCharType="separate"/>
            </w:r>
            <w:r>
              <w:rPr>
                <w:noProof/>
                <w:webHidden/>
              </w:rPr>
              <w:t>4</w:t>
            </w:r>
            <w:r>
              <w:rPr>
                <w:noProof/>
                <w:webHidden/>
              </w:rPr>
              <w:fldChar w:fldCharType="end"/>
            </w:r>
          </w:hyperlink>
        </w:p>
        <w:p w:rsidR="00761652" w:rsidRDefault="00761652">
          <w:pPr>
            <w:pStyle w:val="Verzeichnis1"/>
            <w:tabs>
              <w:tab w:val="left" w:pos="480"/>
              <w:tab w:val="right" w:leader="dot" w:pos="9060"/>
            </w:tabs>
            <w:rPr>
              <w:rFonts w:asciiTheme="minorHAnsi" w:eastAsiaTheme="minorEastAsia" w:hAnsiTheme="minorHAnsi" w:cstheme="minorBidi"/>
              <w:b w:val="0"/>
              <w:bCs w:val="0"/>
              <w:caps w:val="0"/>
              <w:noProof/>
              <w:szCs w:val="22"/>
              <w:lang w:eastAsia="en-GB"/>
            </w:rPr>
          </w:pPr>
          <w:hyperlink w:anchor="_Toc411578953" w:history="1">
            <w:r w:rsidRPr="0028231F">
              <w:rPr>
                <w:rStyle w:val="Hyperlink"/>
                <w:noProof/>
              </w:rPr>
              <w:t>2.</w:t>
            </w:r>
            <w:r>
              <w:rPr>
                <w:rFonts w:asciiTheme="minorHAnsi" w:eastAsiaTheme="minorEastAsia" w:hAnsiTheme="minorHAnsi" w:cstheme="minorBidi"/>
                <w:b w:val="0"/>
                <w:bCs w:val="0"/>
                <w:caps w:val="0"/>
                <w:noProof/>
                <w:szCs w:val="22"/>
                <w:lang w:eastAsia="en-GB"/>
              </w:rPr>
              <w:tab/>
            </w:r>
            <w:r w:rsidRPr="0028231F">
              <w:rPr>
                <w:rStyle w:val="Hyperlink"/>
                <w:noProof/>
              </w:rPr>
              <w:t>Assumptions</w:t>
            </w:r>
            <w:r>
              <w:rPr>
                <w:noProof/>
                <w:webHidden/>
              </w:rPr>
              <w:tab/>
            </w:r>
            <w:r>
              <w:rPr>
                <w:noProof/>
                <w:webHidden/>
              </w:rPr>
              <w:fldChar w:fldCharType="begin"/>
            </w:r>
            <w:r>
              <w:rPr>
                <w:noProof/>
                <w:webHidden/>
              </w:rPr>
              <w:instrText xml:space="preserve"> PAGEREF _Toc411578953 \h </w:instrText>
            </w:r>
            <w:r>
              <w:rPr>
                <w:noProof/>
                <w:webHidden/>
              </w:rPr>
            </w:r>
            <w:r>
              <w:rPr>
                <w:noProof/>
                <w:webHidden/>
              </w:rPr>
              <w:fldChar w:fldCharType="separate"/>
            </w:r>
            <w:r>
              <w:rPr>
                <w:noProof/>
                <w:webHidden/>
              </w:rPr>
              <w:t>6</w:t>
            </w:r>
            <w:r>
              <w:rPr>
                <w:noProof/>
                <w:webHidden/>
              </w:rPr>
              <w:fldChar w:fldCharType="end"/>
            </w:r>
          </w:hyperlink>
        </w:p>
        <w:p w:rsidR="00761652" w:rsidRDefault="00761652">
          <w:pPr>
            <w:pStyle w:val="Verzeichnis1"/>
            <w:tabs>
              <w:tab w:val="left" w:pos="480"/>
              <w:tab w:val="right" w:leader="dot" w:pos="9060"/>
            </w:tabs>
            <w:rPr>
              <w:rFonts w:asciiTheme="minorHAnsi" w:eastAsiaTheme="minorEastAsia" w:hAnsiTheme="minorHAnsi" w:cstheme="minorBidi"/>
              <w:b w:val="0"/>
              <w:bCs w:val="0"/>
              <w:caps w:val="0"/>
              <w:noProof/>
              <w:szCs w:val="22"/>
              <w:lang w:eastAsia="en-GB"/>
            </w:rPr>
          </w:pPr>
          <w:hyperlink w:anchor="_Toc411578954" w:history="1">
            <w:r w:rsidRPr="0028231F">
              <w:rPr>
                <w:rStyle w:val="Hyperlink"/>
                <w:noProof/>
              </w:rPr>
              <w:t>3.</w:t>
            </w:r>
            <w:r>
              <w:rPr>
                <w:rFonts w:asciiTheme="minorHAnsi" w:eastAsiaTheme="minorEastAsia" w:hAnsiTheme="minorHAnsi" w:cstheme="minorBidi"/>
                <w:b w:val="0"/>
                <w:bCs w:val="0"/>
                <w:caps w:val="0"/>
                <w:noProof/>
                <w:szCs w:val="22"/>
                <w:lang w:eastAsia="en-GB"/>
              </w:rPr>
              <w:tab/>
            </w:r>
            <w:r w:rsidRPr="0028231F">
              <w:rPr>
                <w:rStyle w:val="Hyperlink"/>
                <w:noProof/>
              </w:rPr>
              <w:t>Evaluation Criteria for Trust Models and Services</w:t>
            </w:r>
            <w:r>
              <w:rPr>
                <w:noProof/>
                <w:webHidden/>
              </w:rPr>
              <w:tab/>
            </w:r>
            <w:r>
              <w:rPr>
                <w:noProof/>
                <w:webHidden/>
              </w:rPr>
              <w:fldChar w:fldCharType="begin"/>
            </w:r>
            <w:r>
              <w:rPr>
                <w:noProof/>
                <w:webHidden/>
              </w:rPr>
              <w:instrText xml:space="preserve"> PAGEREF _Toc411578954 \h </w:instrText>
            </w:r>
            <w:r>
              <w:rPr>
                <w:noProof/>
                <w:webHidden/>
              </w:rPr>
            </w:r>
            <w:r>
              <w:rPr>
                <w:noProof/>
                <w:webHidden/>
              </w:rPr>
              <w:fldChar w:fldCharType="separate"/>
            </w:r>
            <w:r>
              <w:rPr>
                <w:noProof/>
                <w:webHidden/>
              </w:rPr>
              <w:t>7</w:t>
            </w:r>
            <w:r>
              <w:rPr>
                <w:noProof/>
                <w:webHidden/>
              </w:rPr>
              <w:fldChar w:fldCharType="end"/>
            </w:r>
          </w:hyperlink>
        </w:p>
        <w:p w:rsidR="00761652" w:rsidRDefault="00761652">
          <w:pPr>
            <w:pStyle w:val="Verzeichnis1"/>
            <w:tabs>
              <w:tab w:val="left" w:pos="480"/>
              <w:tab w:val="right" w:leader="dot" w:pos="9060"/>
            </w:tabs>
            <w:rPr>
              <w:rFonts w:asciiTheme="minorHAnsi" w:eastAsiaTheme="minorEastAsia" w:hAnsiTheme="minorHAnsi" w:cstheme="minorBidi"/>
              <w:b w:val="0"/>
              <w:bCs w:val="0"/>
              <w:caps w:val="0"/>
              <w:noProof/>
              <w:szCs w:val="22"/>
              <w:lang w:eastAsia="en-GB"/>
            </w:rPr>
          </w:pPr>
          <w:hyperlink w:anchor="_Toc411578955" w:history="1">
            <w:r w:rsidRPr="0028231F">
              <w:rPr>
                <w:rStyle w:val="Hyperlink"/>
                <w:noProof/>
              </w:rPr>
              <w:t>4.</w:t>
            </w:r>
            <w:r>
              <w:rPr>
                <w:rFonts w:asciiTheme="minorHAnsi" w:eastAsiaTheme="minorEastAsia" w:hAnsiTheme="minorHAnsi" w:cstheme="minorBidi"/>
                <w:b w:val="0"/>
                <w:bCs w:val="0"/>
                <w:caps w:val="0"/>
                <w:noProof/>
                <w:szCs w:val="22"/>
                <w:lang w:eastAsia="en-GB"/>
              </w:rPr>
              <w:tab/>
            </w:r>
            <w:r w:rsidRPr="0028231F">
              <w:rPr>
                <w:rStyle w:val="Hyperlink"/>
                <w:noProof/>
              </w:rPr>
              <w:t>Brief Overview on Trust Models</w:t>
            </w:r>
            <w:r>
              <w:rPr>
                <w:noProof/>
                <w:webHidden/>
              </w:rPr>
              <w:tab/>
            </w:r>
            <w:r>
              <w:rPr>
                <w:noProof/>
                <w:webHidden/>
              </w:rPr>
              <w:fldChar w:fldCharType="begin"/>
            </w:r>
            <w:r>
              <w:rPr>
                <w:noProof/>
                <w:webHidden/>
              </w:rPr>
              <w:instrText xml:space="preserve"> PAGEREF _Toc411578955 \h </w:instrText>
            </w:r>
            <w:r>
              <w:rPr>
                <w:noProof/>
                <w:webHidden/>
              </w:rPr>
            </w:r>
            <w:r>
              <w:rPr>
                <w:noProof/>
                <w:webHidden/>
              </w:rPr>
              <w:fldChar w:fldCharType="separate"/>
            </w:r>
            <w:r>
              <w:rPr>
                <w:noProof/>
                <w:webHidden/>
              </w:rPr>
              <w:t>8</w:t>
            </w:r>
            <w:r>
              <w:rPr>
                <w:noProof/>
                <w:webHidden/>
              </w:rPr>
              <w:fldChar w:fldCharType="end"/>
            </w:r>
          </w:hyperlink>
        </w:p>
        <w:p w:rsidR="00761652" w:rsidRDefault="00761652">
          <w:pPr>
            <w:pStyle w:val="Verzeichnis2"/>
            <w:tabs>
              <w:tab w:val="left" w:pos="880"/>
              <w:tab w:val="right" w:leader="dot" w:pos="9060"/>
            </w:tabs>
            <w:rPr>
              <w:rFonts w:asciiTheme="minorHAnsi" w:eastAsiaTheme="minorEastAsia" w:hAnsiTheme="minorHAnsi" w:cstheme="minorBidi"/>
              <w:smallCaps w:val="0"/>
              <w:noProof/>
              <w:szCs w:val="22"/>
              <w:lang w:eastAsia="en-GB"/>
            </w:rPr>
          </w:pPr>
          <w:hyperlink w:anchor="_Toc411578956" w:history="1">
            <w:r w:rsidRPr="0028231F">
              <w:rPr>
                <w:rStyle w:val="Hyperlink"/>
                <w:noProof/>
              </w:rPr>
              <w:t>4.1.</w:t>
            </w:r>
            <w:r>
              <w:rPr>
                <w:rFonts w:asciiTheme="minorHAnsi" w:eastAsiaTheme="minorEastAsia" w:hAnsiTheme="minorHAnsi" w:cstheme="minorBidi"/>
                <w:smallCaps w:val="0"/>
                <w:noProof/>
                <w:szCs w:val="22"/>
                <w:lang w:eastAsia="en-GB"/>
              </w:rPr>
              <w:tab/>
            </w:r>
            <w:r w:rsidRPr="0028231F">
              <w:rPr>
                <w:rStyle w:val="Hyperlink"/>
                <w:noProof/>
              </w:rPr>
              <w:t>Direct Trust – Mutual Key Exchange</w:t>
            </w:r>
            <w:r>
              <w:rPr>
                <w:noProof/>
                <w:webHidden/>
              </w:rPr>
              <w:tab/>
            </w:r>
            <w:r>
              <w:rPr>
                <w:noProof/>
                <w:webHidden/>
              </w:rPr>
              <w:fldChar w:fldCharType="begin"/>
            </w:r>
            <w:r>
              <w:rPr>
                <w:noProof/>
                <w:webHidden/>
              </w:rPr>
              <w:instrText xml:space="preserve"> PAGEREF _Toc411578956 \h </w:instrText>
            </w:r>
            <w:r>
              <w:rPr>
                <w:noProof/>
                <w:webHidden/>
              </w:rPr>
            </w:r>
            <w:r>
              <w:rPr>
                <w:noProof/>
                <w:webHidden/>
              </w:rPr>
              <w:fldChar w:fldCharType="separate"/>
            </w:r>
            <w:r>
              <w:rPr>
                <w:noProof/>
                <w:webHidden/>
              </w:rPr>
              <w:t>8</w:t>
            </w:r>
            <w:r>
              <w:rPr>
                <w:noProof/>
                <w:webHidden/>
              </w:rPr>
              <w:fldChar w:fldCharType="end"/>
            </w:r>
          </w:hyperlink>
        </w:p>
        <w:p w:rsidR="00761652" w:rsidRDefault="00761652">
          <w:pPr>
            <w:pStyle w:val="Verzeichnis2"/>
            <w:tabs>
              <w:tab w:val="left" w:pos="880"/>
              <w:tab w:val="right" w:leader="dot" w:pos="9060"/>
            </w:tabs>
            <w:rPr>
              <w:rFonts w:asciiTheme="minorHAnsi" w:eastAsiaTheme="minorEastAsia" w:hAnsiTheme="minorHAnsi" w:cstheme="minorBidi"/>
              <w:smallCaps w:val="0"/>
              <w:noProof/>
              <w:szCs w:val="22"/>
              <w:lang w:eastAsia="en-GB"/>
            </w:rPr>
          </w:pPr>
          <w:hyperlink w:anchor="_Toc411578957" w:history="1">
            <w:r w:rsidRPr="0028231F">
              <w:rPr>
                <w:rStyle w:val="Hyperlink"/>
                <w:noProof/>
              </w:rPr>
              <w:t>4.2.</w:t>
            </w:r>
            <w:r>
              <w:rPr>
                <w:rFonts w:asciiTheme="minorHAnsi" w:eastAsiaTheme="minorEastAsia" w:hAnsiTheme="minorHAnsi" w:cstheme="minorBidi"/>
                <w:smallCaps w:val="0"/>
                <w:noProof/>
                <w:szCs w:val="22"/>
                <w:lang w:eastAsia="en-GB"/>
              </w:rPr>
              <w:tab/>
            </w:r>
            <w:r w:rsidRPr="0028231F">
              <w:rPr>
                <w:rStyle w:val="Hyperlink"/>
                <w:noProof/>
              </w:rPr>
              <w:t>Indirect Trust Models</w:t>
            </w:r>
            <w:r>
              <w:rPr>
                <w:noProof/>
                <w:webHidden/>
              </w:rPr>
              <w:tab/>
            </w:r>
            <w:r>
              <w:rPr>
                <w:noProof/>
                <w:webHidden/>
              </w:rPr>
              <w:fldChar w:fldCharType="begin"/>
            </w:r>
            <w:r>
              <w:rPr>
                <w:noProof/>
                <w:webHidden/>
              </w:rPr>
              <w:instrText xml:space="preserve"> PAGEREF _Toc411578957 \h </w:instrText>
            </w:r>
            <w:r>
              <w:rPr>
                <w:noProof/>
                <w:webHidden/>
              </w:rPr>
            </w:r>
            <w:r>
              <w:rPr>
                <w:noProof/>
                <w:webHidden/>
              </w:rPr>
              <w:fldChar w:fldCharType="separate"/>
            </w:r>
            <w:r>
              <w:rPr>
                <w:noProof/>
                <w:webHidden/>
              </w:rPr>
              <w:t>9</w:t>
            </w:r>
            <w:r>
              <w:rPr>
                <w:noProof/>
                <w:webHidden/>
              </w:rPr>
              <w:fldChar w:fldCharType="end"/>
            </w:r>
          </w:hyperlink>
        </w:p>
        <w:p w:rsidR="00761652" w:rsidRDefault="00761652">
          <w:pPr>
            <w:pStyle w:val="Verzeichnis3"/>
            <w:tabs>
              <w:tab w:val="left" w:pos="1320"/>
              <w:tab w:val="right" w:leader="dot" w:pos="9060"/>
            </w:tabs>
            <w:rPr>
              <w:rFonts w:asciiTheme="minorHAnsi" w:eastAsiaTheme="minorEastAsia" w:hAnsiTheme="minorHAnsi" w:cstheme="minorBidi"/>
              <w:iCs w:val="0"/>
              <w:smallCaps w:val="0"/>
              <w:noProof/>
              <w:szCs w:val="22"/>
              <w:lang w:eastAsia="en-GB"/>
            </w:rPr>
          </w:pPr>
          <w:hyperlink w:anchor="_Toc411578958" w:history="1">
            <w:r w:rsidRPr="0028231F">
              <w:rPr>
                <w:rStyle w:val="Hyperlink"/>
                <w:noProof/>
              </w:rPr>
              <w:t>4.2.1.</w:t>
            </w:r>
            <w:r>
              <w:rPr>
                <w:rFonts w:asciiTheme="minorHAnsi" w:eastAsiaTheme="minorEastAsia" w:hAnsiTheme="minorHAnsi" w:cstheme="minorBidi"/>
                <w:iCs w:val="0"/>
                <w:smallCaps w:val="0"/>
                <w:noProof/>
                <w:szCs w:val="22"/>
                <w:lang w:eastAsia="en-GB"/>
              </w:rPr>
              <w:tab/>
            </w:r>
            <w:r w:rsidRPr="0028231F">
              <w:rPr>
                <w:rStyle w:val="Hyperlink"/>
                <w:noProof/>
              </w:rPr>
              <w:t>Community Trust</w:t>
            </w:r>
            <w:r>
              <w:rPr>
                <w:noProof/>
                <w:webHidden/>
              </w:rPr>
              <w:tab/>
            </w:r>
            <w:r>
              <w:rPr>
                <w:noProof/>
                <w:webHidden/>
              </w:rPr>
              <w:fldChar w:fldCharType="begin"/>
            </w:r>
            <w:r>
              <w:rPr>
                <w:noProof/>
                <w:webHidden/>
              </w:rPr>
              <w:instrText xml:space="preserve"> PAGEREF _Toc411578958 \h </w:instrText>
            </w:r>
            <w:r>
              <w:rPr>
                <w:noProof/>
                <w:webHidden/>
              </w:rPr>
            </w:r>
            <w:r>
              <w:rPr>
                <w:noProof/>
                <w:webHidden/>
              </w:rPr>
              <w:fldChar w:fldCharType="separate"/>
            </w:r>
            <w:r>
              <w:rPr>
                <w:noProof/>
                <w:webHidden/>
              </w:rPr>
              <w:t>11</w:t>
            </w:r>
            <w:r>
              <w:rPr>
                <w:noProof/>
                <w:webHidden/>
              </w:rPr>
              <w:fldChar w:fldCharType="end"/>
            </w:r>
          </w:hyperlink>
        </w:p>
        <w:p w:rsidR="00761652" w:rsidRDefault="00761652">
          <w:pPr>
            <w:pStyle w:val="Verzeichnis3"/>
            <w:tabs>
              <w:tab w:val="left" w:pos="1320"/>
              <w:tab w:val="right" w:leader="dot" w:pos="9060"/>
            </w:tabs>
            <w:rPr>
              <w:rFonts w:asciiTheme="minorHAnsi" w:eastAsiaTheme="minorEastAsia" w:hAnsiTheme="minorHAnsi" w:cstheme="minorBidi"/>
              <w:iCs w:val="0"/>
              <w:smallCaps w:val="0"/>
              <w:noProof/>
              <w:szCs w:val="22"/>
              <w:lang w:eastAsia="en-GB"/>
            </w:rPr>
          </w:pPr>
          <w:hyperlink w:anchor="_Toc411578959" w:history="1">
            <w:r w:rsidRPr="0028231F">
              <w:rPr>
                <w:rStyle w:val="Hyperlink"/>
                <w:noProof/>
              </w:rPr>
              <w:t>4.2.2.</w:t>
            </w:r>
            <w:r>
              <w:rPr>
                <w:rFonts w:asciiTheme="minorHAnsi" w:eastAsiaTheme="minorEastAsia" w:hAnsiTheme="minorHAnsi" w:cstheme="minorBidi"/>
                <w:iCs w:val="0"/>
                <w:smallCaps w:val="0"/>
                <w:noProof/>
                <w:szCs w:val="22"/>
                <w:lang w:eastAsia="en-GB"/>
              </w:rPr>
              <w:tab/>
            </w:r>
            <w:r w:rsidRPr="0028231F">
              <w:rPr>
                <w:rStyle w:val="Hyperlink"/>
                <w:noProof/>
              </w:rPr>
              <w:t>Root-Stores</w:t>
            </w:r>
            <w:r>
              <w:rPr>
                <w:noProof/>
                <w:webHidden/>
              </w:rPr>
              <w:tab/>
            </w:r>
            <w:r>
              <w:rPr>
                <w:noProof/>
                <w:webHidden/>
              </w:rPr>
              <w:fldChar w:fldCharType="begin"/>
            </w:r>
            <w:r>
              <w:rPr>
                <w:noProof/>
                <w:webHidden/>
              </w:rPr>
              <w:instrText xml:space="preserve"> PAGEREF _Toc411578959 \h </w:instrText>
            </w:r>
            <w:r>
              <w:rPr>
                <w:noProof/>
                <w:webHidden/>
              </w:rPr>
            </w:r>
            <w:r>
              <w:rPr>
                <w:noProof/>
                <w:webHidden/>
              </w:rPr>
              <w:fldChar w:fldCharType="separate"/>
            </w:r>
            <w:r>
              <w:rPr>
                <w:noProof/>
                <w:webHidden/>
              </w:rPr>
              <w:t>14</w:t>
            </w:r>
            <w:r>
              <w:rPr>
                <w:noProof/>
                <w:webHidden/>
              </w:rPr>
              <w:fldChar w:fldCharType="end"/>
            </w:r>
          </w:hyperlink>
        </w:p>
        <w:p w:rsidR="00761652" w:rsidRDefault="00761652">
          <w:pPr>
            <w:pStyle w:val="Verzeichnis2"/>
            <w:tabs>
              <w:tab w:val="left" w:pos="880"/>
              <w:tab w:val="right" w:leader="dot" w:pos="9060"/>
            </w:tabs>
            <w:rPr>
              <w:rFonts w:asciiTheme="minorHAnsi" w:eastAsiaTheme="minorEastAsia" w:hAnsiTheme="minorHAnsi" w:cstheme="minorBidi"/>
              <w:smallCaps w:val="0"/>
              <w:noProof/>
              <w:szCs w:val="22"/>
              <w:lang w:eastAsia="en-GB"/>
            </w:rPr>
          </w:pPr>
          <w:hyperlink w:anchor="_Toc411578960" w:history="1">
            <w:r w:rsidRPr="0028231F">
              <w:rPr>
                <w:rStyle w:val="Hyperlink"/>
                <w:noProof/>
              </w:rPr>
              <w:t>4.3.</w:t>
            </w:r>
            <w:r>
              <w:rPr>
                <w:rFonts w:asciiTheme="minorHAnsi" w:eastAsiaTheme="minorEastAsia" w:hAnsiTheme="minorHAnsi" w:cstheme="minorBidi"/>
                <w:smallCaps w:val="0"/>
                <w:noProof/>
                <w:szCs w:val="22"/>
                <w:lang w:eastAsia="en-GB"/>
              </w:rPr>
              <w:tab/>
            </w:r>
            <w:r w:rsidRPr="0028231F">
              <w:rPr>
                <w:rStyle w:val="Hyperlink"/>
                <w:noProof/>
              </w:rPr>
              <w:t>Brokered Trust Models</w:t>
            </w:r>
            <w:r>
              <w:rPr>
                <w:noProof/>
                <w:webHidden/>
              </w:rPr>
              <w:tab/>
            </w:r>
            <w:r>
              <w:rPr>
                <w:noProof/>
                <w:webHidden/>
              </w:rPr>
              <w:fldChar w:fldCharType="begin"/>
            </w:r>
            <w:r>
              <w:rPr>
                <w:noProof/>
                <w:webHidden/>
              </w:rPr>
              <w:instrText xml:space="preserve"> PAGEREF _Toc411578960 \h </w:instrText>
            </w:r>
            <w:r>
              <w:rPr>
                <w:noProof/>
                <w:webHidden/>
              </w:rPr>
            </w:r>
            <w:r>
              <w:rPr>
                <w:noProof/>
                <w:webHidden/>
              </w:rPr>
              <w:fldChar w:fldCharType="separate"/>
            </w:r>
            <w:r>
              <w:rPr>
                <w:noProof/>
                <w:webHidden/>
              </w:rPr>
              <w:t>14</w:t>
            </w:r>
            <w:r>
              <w:rPr>
                <w:noProof/>
                <w:webHidden/>
              </w:rPr>
              <w:fldChar w:fldCharType="end"/>
            </w:r>
          </w:hyperlink>
        </w:p>
        <w:p w:rsidR="00761652" w:rsidRDefault="00761652">
          <w:pPr>
            <w:pStyle w:val="Verzeichnis2"/>
            <w:tabs>
              <w:tab w:val="left" w:pos="880"/>
              <w:tab w:val="right" w:leader="dot" w:pos="9060"/>
            </w:tabs>
            <w:rPr>
              <w:rFonts w:asciiTheme="minorHAnsi" w:eastAsiaTheme="minorEastAsia" w:hAnsiTheme="minorHAnsi" w:cstheme="minorBidi"/>
              <w:smallCaps w:val="0"/>
              <w:noProof/>
              <w:szCs w:val="22"/>
              <w:lang w:eastAsia="en-GB"/>
            </w:rPr>
          </w:pPr>
          <w:hyperlink w:anchor="_Toc411578961" w:history="1">
            <w:r w:rsidRPr="0028231F">
              <w:rPr>
                <w:rStyle w:val="Hyperlink"/>
                <w:noProof/>
              </w:rPr>
              <w:t>4.4.</w:t>
            </w:r>
            <w:r>
              <w:rPr>
                <w:rFonts w:asciiTheme="minorHAnsi" w:eastAsiaTheme="minorEastAsia" w:hAnsiTheme="minorHAnsi" w:cstheme="minorBidi"/>
                <w:smallCaps w:val="0"/>
                <w:noProof/>
                <w:szCs w:val="22"/>
                <w:lang w:eastAsia="en-GB"/>
              </w:rPr>
              <w:tab/>
            </w:r>
            <w:r w:rsidRPr="0028231F">
              <w:rPr>
                <w:rStyle w:val="Hyperlink"/>
                <w:noProof/>
              </w:rPr>
              <w:t>Trust Federation using Trust Lists</w:t>
            </w:r>
            <w:r>
              <w:rPr>
                <w:noProof/>
                <w:webHidden/>
              </w:rPr>
              <w:tab/>
            </w:r>
            <w:r>
              <w:rPr>
                <w:noProof/>
                <w:webHidden/>
              </w:rPr>
              <w:fldChar w:fldCharType="begin"/>
            </w:r>
            <w:r>
              <w:rPr>
                <w:noProof/>
                <w:webHidden/>
              </w:rPr>
              <w:instrText xml:space="preserve"> PAGEREF _Toc411578961 \h </w:instrText>
            </w:r>
            <w:r>
              <w:rPr>
                <w:noProof/>
                <w:webHidden/>
              </w:rPr>
            </w:r>
            <w:r>
              <w:rPr>
                <w:noProof/>
                <w:webHidden/>
              </w:rPr>
              <w:fldChar w:fldCharType="separate"/>
            </w:r>
            <w:r>
              <w:rPr>
                <w:noProof/>
                <w:webHidden/>
              </w:rPr>
              <w:t>15</w:t>
            </w:r>
            <w:r>
              <w:rPr>
                <w:noProof/>
                <w:webHidden/>
              </w:rPr>
              <w:fldChar w:fldCharType="end"/>
            </w:r>
          </w:hyperlink>
        </w:p>
        <w:p w:rsidR="00761652" w:rsidRDefault="00761652">
          <w:pPr>
            <w:pStyle w:val="Verzeichnis1"/>
            <w:tabs>
              <w:tab w:val="left" w:pos="480"/>
              <w:tab w:val="right" w:leader="dot" w:pos="9060"/>
            </w:tabs>
            <w:rPr>
              <w:rFonts w:asciiTheme="minorHAnsi" w:eastAsiaTheme="minorEastAsia" w:hAnsiTheme="minorHAnsi" w:cstheme="minorBidi"/>
              <w:b w:val="0"/>
              <w:bCs w:val="0"/>
              <w:caps w:val="0"/>
              <w:noProof/>
              <w:szCs w:val="22"/>
              <w:lang w:eastAsia="en-GB"/>
            </w:rPr>
          </w:pPr>
          <w:hyperlink w:anchor="_Toc411578962" w:history="1">
            <w:r w:rsidRPr="0028231F">
              <w:rPr>
                <w:rStyle w:val="Hyperlink"/>
                <w:noProof/>
              </w:rPr>
              <w:t>5.</w:t>
            </w:r>
            <w:r>
              <w:rPr>
                <w:rFonts w:asciiTheme="minorHAnsi" w:eastAsiaTheme="minorEastAsia" w:hAnsiTheme="minorHAnsi" w:cstheme="minorBidi"/>
                <w:b w:val="0"/>
                <w:bCs w:val="0"/>
                <w:caps w:val="0"/>
                <w:noProof/>
                <w:szCs w:val="22"/>
                <w:lang w:eastAsia="en-GB"/>
              </w:rPr>
              <w:tab/>
            </w:r>
            <w:r w:rsidRPr="0028231F">
              <w:rPr>
                <w:rStyle w:val="Hyperlink"/>
                <w:noProof/>
              </w:rPr>
              <w:t>Usage of SAML Token and Security Token Services for Trust-Brokerage</w:t>
            </w:r>
            <w:r>
              <w:rPr>
                <w:noProof/>
                <w:webHidden/>
              </w:rPr>
              <w:tab/>
            </w:r>
            <w:r>
              <w:rPr>
                <w:noProof/>
                <w:webHidden/>
              </w:rPr>
              <w:fldChar w:fldCharType="begin"/>
            </w:r>
            <w:r>
              <w:rPr>
                <w:noProof/>
                <w:webHidden/>
              </w:rPr>
              <w:instrText xml:space="preserve"> PAGEREF _Toc411578962 \h </w:instrText>
            </w:r>
            <w:r>
              <w:rPr>
                <w:noProof/>
                <w:webHidden/>
              </w:rPr>
            </w:r>
            <w:r>
              <w:rPr>
                <w:noProof/>
                <w:webHidden/>
              </w:rPr>
              <w:fldChar w:fldCharType="separate"/>
            </w:r>
            <w:r>
              <w:rPr>
                <w:noProof/>
                <w:webHidden/>
              </w:rPr>
              <w:t>17</w:t>
            </w:r>
            <w:r>
              <w:rPr>
                <w:noProof/>
                <w:webHidden/>
              </w:rPr>
              <w:fldChar w:fldCharType="end"/>
            </w:r>
          </w:hyperlink>
        </w:p>
        <w:p w:rsidR="00761652" w:rsidRDefault="00761652">
          <w:pPr>
            <w:pStyle w:val="Verzeichnis1"/>
            <w:tabs>
              <w:tab w:val="left" w:pos="480"/>
              <w:tab w:val="right" w:leader="dot" w:pos="9060"/>
            </w:tabs>
            <w:rPr>
              <w:rFonts w:asciiTheme="minorHAnsi" w:eastAsiaTheme="minorEastAsia" w:hAnsiTheme="minorHAnsi" w:cstheme="minorBidi"/>
              <w:b w:val="0"/>
              <w:bCs w:val="0"/>
              <w:caps w:val="0"/>
              <w:noProof/>
              <w:szCs w:val="22"/>
              <w:lang w:eastAsia="en-GB"/>
            </w:rPr>
          </w:pPr>
          <w:hyperlink w:anchor="_Toc411578963" w:history="1">
            <w:r w:rsidRPr="0028231F">
              <w:rPr>
                <w:rStyle w:val="Hyperlink"/>
                <w:noProof/>
              </w:rPr>
              <w:t>6.</w:t>
            </w:r>
            <w:r>
              <w:rPr>
                <w:rFonts w:asciiTheme="minorHAnsi" w:eastAsiaTheme="minorEastAsia" w:hAnsiTheme="minorHAnsi" w:cstheme="minorBidi"/>
                <w:b w:val="0"/>
                <w:bCs w:val="0"/>
                <w:caps w:val="0"/>
                <w:noProof/>
                <w:szCs w:val="22"/>
                <w:lang w:eastAsia="en-GB"/>
              </w:rPr>
              <w:tab/>
            </w:r>
            <w:r w:rsidRPr="0028231F">
              <w:rPr>
                <w:rStyle w:val="Hyperlink"/>
                <w:noProof/>
              </w:rPr>
              <w:t>“Big Picture” using Trust Brokers and Trust Lists</w:t>
            </w:r>
            <w:r>
              <w:rPr>
                <w:noProof/>
                <w:webHidden/>
              </w:rPr>
              <w:tab/>
            </w:r>
            <w:r>
              <w:rPr>
                <w:noProof/>
                <w:webHidden/>
              </w:rPr>
              <w:fldChar w:fldCharType="begin"/>
            </w:r>
            <w:r>
              <w:rPr>
                <w:noProof/>
                <w:webHidden/>
              </w:rPr>
              <w:instrText xml:space="preserve"> PAGEREF _Toc411578963 \h </w:instrText>
            </w:r>
            <w:r>
              <w:rPr>
                <w:noProof/>
                <w:webHidden/>
              </w:rPr>
            </w:r>
            <w:r>
              <w:rPr>
                <w:noProof/>
                <w:webHidden/>
              </w:rPr>
              <w:fldChar w:fldCharType="separate"/>
            </w:r>
            <w:r>
              <w:rPr>
                <w:noProof/>
                <w:webHidden/>
              </w:rPr>
              <w:t>19</w:t>
            </w:r>
            <w:r>
              <w:rPr>
                <w:noProof/>
                <w:webHidden/>
              </w:rPr>
              <w:fldChar w:fldCharType="end"/>
            </w:r>
          </w:hyperlink>
        </w:p>
        <w:p w:rsidR="00792F05" w:rsidRDefault="00792F05">
          <w:r>
            <w:rPr>
              <w:b/>
              <w:bCs/>
              <w:lang w:val="de-DE"/>
            </w:rPr>
            <w:fldChar w:fldCharType="end"/>
          </w:r>
        </w:p>
      </w:sdtContent>
    </w:sdt>
    <w:p w:rsidR="006C1A8C" w:rsidRPr="00AC7971" w:rsidRDefault="006C1A8C" w:rsidP="006C1A8C">
      <w:pPr>
        <w:pStyle w:val="Heading1Unumbered"/>
      </w:pPr>
      <w:bookmarkStart w:id="0" w:name="_Toc411578950"/>
      <w:r w:rsidRPr="00AC7971">
        <w:rPr>
          <w:color w:val="17365D"/>
        </w:rPr>
        <w:lastRenderedPageBreak/>
        <w:t>History</w:t>
      </w:r>
      <w:bookmarkEnd w:id="0"/>
    </w:p>
    <w:tbl>
      <w:tblPr>
        <w:tblW w:w="0" w:type="auto"/>
        <w:jc w:val="center"/>
        <w:tblBorders>
          <w:top w:val="single" w:sz="8" w:space="0" w:color="365F91"/>
          <w:left w:val="single" w:sz="8" w:space="0" w:color="365F91"/>
          <w:bottom w:val="single" w:sz="8" w:space="0" w:color="365F91"/>
          <w:right w:val="single" w:sz="8" w:space="0" w:color="365F91"/>
          <w:insideH w:val="single" w:sz="8" w:space="0" w:color="365F91"/>
          <w:insideV w:val="single" w:sz="8" w:space="0" w:color="365F91"/>
        </w:tblBorders>
        <w:tblLook w:val="0000" w:firstRow="0" w:lastRow="0" w:firstColumn="0" w:lastColumn="0" w:noHBand="0" w:noVBand="0"/>
      </w:tblPr>
      <w:tblGrid>
        <w:gridCol w:w="1262"/>
        <w:gridCol w:w="1698"/>
        <w:gridCol w:w="3942"/>
        <w:gridCol w:w="2384"/>
      </w:tblGrid>
      <w:tr w:rsidR="006C1A8C" w:rsidRPr="00AC7971" w:rsidTr="00C706B6">
        <w:trPr>
          <w:trHeight w:val="352"/>
          <w:jc w:val="center"/>
        </w:trPr>
        <w:tc>
          <w:tcPr>
            <w:tcW w:w="1262" w:type="dxa"/>
            <w:shd w:val="clear" w:color="auto" w:fill="DBE5F1"/>
          </w:tcPr>
          <w:p w:rsidR="006C1A8C" w:rsidRPr="00AC7971" w:rsidRDefault="006C1A8C" w:rsidP="006C1A8C">
            <w:pPr>
              <w:rPr>
                <w:b/>
              </w:rPr>
            </w:pPr>
            <w:r w:rsidRPr="00AC7971">
              <w:rPr>
                <w:b/>
              </w:rPr>
              <w:t>Version</w:t>
            </w:r>
          </w:p>
        </w:tc>
        <w:tc>
          <w:tcPr>
            <w:tcW w:w="1698" w:type="dxa"/>
            <w:shd w:val="clear" w:color="auto" w:fill="DBE5F1"/>
          </w:tcPr>
          <w:p w:rsidR="006C1A8C" w:rsidRPr="00AC7971" w:rsidRDefault="006C1A8C" w:rsidP="006C1A8C">
            <w:pPr>
              <w:rPr>
                <w:b/>
              </w:rPr>
            </w:pPr>
            <w:r w:rsidRPr="00AC7971">
              <w:rPr>
                <w:b/>
              </w:rPr>
              <w:t>Date</w:t>
            </w:r>
          </w:p>
        </w:tc>
        <w:tc>
          <w:tcPr>
            <w:tcW w:w="3942" w:type="dxa"/>
            <w:shd w:val="clear" w:color="auto" w:fill="DBE5F1"/>
          </w:tcPr>
          <w:p w:rsidR="006C1A8C" w:rsidRPr="00AC7971" w:rsidRDefault="006C1A8C" w:rsidP="006C1A8C">
            <w:pPr>
              <w:rPr>
                <w:b/>
              </w:rPr>
            </w:pPr>
            <w:r w:rsidRPr="00AC7971">
              <w:rPr>
                <w:b/>
              </w:rPr>
              <w:t>Changes made</w:t>
            </w:r>
          </w:p>
        </w:tc>
        <w:tc>
          <w:tcPr>
            <w:tcW w:w="2384" w:type="dxa"/>
            <w:shd w:val="clear" w:color="auto" w:fill="DBE5F1"/>
          </w:tcPr>
          <w:p w:rsidR="006C1A8C" w:rsidRPr="00AC7971" w:rsidRDefault="006C1A8C" w:rsidP="006C1A8C">
            <w:pPr>
              <w:rPr>
                <w:b/>
              </w:rPr>
            </w:pPr>
            <w:r w:rsidRPr="00AC7971">
              <w:rPr>
                <w:b/>
              </w:rPr>
              <w:t>Modified by</w:t>
            </w:r>
          </w:p>
        </w:tc>
      </w:tr>
      <w:tr w:rsidR="006C1A8C" w:rsidRPr="00AC7971" w:rsidTr="00C706B6">
        <w:trPr>
          <w:trHeight w:val="352"/>
          <w:jc w:val="center"/>
        </w:trPr>
        <w:tc>
          <w:tcPr>
            <w:tcW w:w="1262" w:type="dxa"/>
          </w:tcPr>
          <w:p w:rsidR="006C1A8C" w:rsidRPr="00AC7971" w:rsidRDefault="006C1A8C" w:rsidP="006C1A8C">
            <w:r w:rsidRPr="00AC7971">
              <w:t>0.1</w:t>
            </w:r>
          </w:p>
        </w:tc>
        <w:tc>
          <w:tcPr>
            <w:tcW w:w="1698" w:type="dxa"/>
          </w:tcPr>
          <w:p w:rsidR="006C1A8C" w:rsidRPr="00AC7971" w:rsidRDefault="006C1A8C" w:rsidP="006C1A8C">
            <w:r w:rsidRPr="00AC7971">
              <w:t>02.01.2015</w:t>
            </w:r>
          </w:p>
        </w:tc>
        <w:tc>
          <w:tcPr>
            <w:tcW w:w="3942" w:type="dxa"/>
          </w:tcPr>
          <w:p w:rsidR="006C1A8C" w:rsidRPr="00AC7971" w:rsidRDefault="006C1A8C" w:rsidP="00092A0C">
            <w:pPr>
              <w:jc w:val="left"/>
            </w:pPr>
            <w:r w:rsidRPr="00AC7971">
              <w:t>First draft</w:t>
            </w:r>
          </w:p>
        </w:tc>
        <w:tc>
          <w:tcPr>
            <w:tcW w:w="2384" w:type="dxa"/>
          </w:tcPr>
          <w:p w:rsidR="006C1A8C" w:rsidRPr="00AC7971" w:rsidRDefault="006C1A8C" w:rsidP="00092A0C">
            <w:pPr>
              <w:jc w:val="left"/>
            </w:pPr>
            <w:r w:rsidRPr="00AC7971">
              <w:t>Jörg Apitzsch</w:t>
            </w:r>
          </w:p>
        </w:tc>
      </w:tr>
      <w:tr w:rsidR="006C1A8C" w:rsidRPr="00AC7971" w:rsidTr="00C706B6">
        <w:trPr>
          <w:trHeight w:val="352"/>
          <w:jc w:val="center"/>
        </w:trPr>
        <w:tc>
          <w:tcPr>
            <w:tcW w:w="1262" w:type="dxa"/>
          </w:tcPr>
          <w:p w:rsidR="006C1A8C" w:rsidRPr="00AC7971" w:rsidRDefault="006C1A8C" w:rsidP="006C1A8C">
            <w:r w:rsidRPr="00AC7971">
              <w:t>0.2</w:t>
            </w:r>
          </w:p>
        </w:tc>
        <w:tc>
          <w:tcPr>
            <w:tcW w:w="1698" w:type="dxa"/>
          </w:tcPr>
          <w:p w:rsidR="006C1A8C" w:rsidRPr="00AC7971" w:rsidRDefault="006C1A8C" w:rsidP="006C1A8C">
            <w:r w:rsidRPr="00AC7971">
              <w:t>19.01.2015</w:t>
            </w:r>
          </w:p>
        </w:tc>
        <w:tc>
          <w:tcPr>
            <w:tcW w:w="3942" w:type="dxa"/>
          </w:tcPr>
          <w:p w:rsidR="006C1A8C" w:rsidRPr="00AC7971" w:rsidRDefault="006C1A8C" w:rsidP="00092A0C">
            <w:pPr>
              <w:jc w:val="left"/>
            </w:pPr>
            <w:r w:rsidRPr="00AC7971">
              <w:t>Draft completed for further reconcilement</w:t>
            </w:r>
          </w:p>
        </w:tc>
        <w:tc>
          <w:tcPr>
            <w:tcW w:w="2384" w:type="dxa"/>
          </w:tcPr>
          <w:p w:rsidR="006C1A8C" w:rsidRPr="00AC7971" w:rsidRDefault="006C1A8C" w:rsidP="00092A0C">
            <w:pPr>
              <w:jc w:val="left"/>
            </w:pPr>
            <w:r w:rsidRPr="00AC7971">
              <w:t>Jörg Apitzsch</w:t>
            </w:r>
          </w:p>
        </w:tc>
      </w:tr>
      <w:tr w:rsidR="006C1A8C" w:rsidRPr="00AC7971" w:rsidTr="00C706B6">
        <w:trPr>
          <w:trHeight w:val="352"/>
          <w:jc w:val="center"/>
        </w:trPr>
        <w:tc>
          <w:tcPr>
            <w:tcW w:w="1262" w:type="dxa"/>
          </w:tcPr>
          <w:p w:rsidR="006C1A8C" w:rsidRPr="00AC7971" w:rsidRDefault="006C1A8C" w:rsidP="006C1A8C">
            <w:r w:rsidRPr="00AC7971">
              <w:t>0.3</w:t>
            </w:r>
          </w:p>
        </w:tc>
        <w:tc>
          <w:tcPr>
            <w:tcW w:w="1698" w:type="dxa"/>
          </w:tcPr>
          <w:p w:rsidR="006C1A8C" w:rsidRPr="00AC7971" w:rsidRDefault="006C1A8C" w:rsidP="006C1A8C">
            <w:r w:rsidRPr="00AC7971">
              <w:t>11.02.2015</w:t>
            </w:r>
          </w:p>
        </w:tc>
        <w:tc>
          <w:tcPr>
            <w:tcW w:w="3942" w:type="dxa"/>
          </w:tcPr>
          <w:p w:rsidR="006C1A8C" w:rsidRPr="00AC7971" w:rsidRDefault="006C1A8C" w:rsidP="00092A0C">
            <w:pPr>
              <w:jc w:val="left"/>
            </w:pPr>
            <w:r w:rsidRPr="00AC7971">
              <w:t>Further detailing of model descriptions</w:t>
            </w:r>
            <w:r w:rsidR="004A2552">
              <w:t>; draft evaluation criteria</w:t>
            </w:r>
          </w:p>
        </w:tc>
        <w:tc>
          <w:tcPr>
            <w:tcW w:w="2384" w:type="dxa"/>
          </w:tcPr>
          <w:p w:rsidR="006C1A8C" w:rsidRPr="00AC7971" w:rsidRDefault="006C1A8C" w:rsidP="00092A0C">
            <w:pPr>
              <w:jc w:val="left"/>
            </w:pPr>
            <w:r w:rsidRPr="00AC7971">
              <w:t>Jörg Apitzsch</w:t>
            </w:r>
          </w:p>
        </w:tc>
      </w:tr>
      <w:tr w:rsidR="006C1A8C" w:rsidRPr="00AC7971" w:rsidTr="00C706B6">
        <w:trPr>
          <w:trHeight w:val="352"/>
          <w:jc w:val="center"/>
        </w:trPr>
        <w:tc>
          <w:tcPr>
            <w:tcW w:w="1262" w:type="dxa"/>
          </w:tcPr>
          <w:p w:rsidR="006C1A8C" w:rsidRPr="00AC7971" w:rsidRDefault="004A417C" w:rsidP="006C1A8C">
            <w:r>
              <w:t>0.4</w:t>
            </w:r>
          </w:p>
        </w:tc>
        <w:tc>
          <w:tcPr>
            <w:tcW w:w="1698" w:type="dxa"/>
          </w:tcPr>
          <w:p w:rsidR="006C1A8C" w:rsidRPr="00AC7971" w:rsidRDefault="004A417C" w:rsidP="006C1A8C">
            <w:r>
              <w:t>12.02.2015</w:t>
            </w:r>
          </w:p>
        </w:tc>
        <w:tc>
          <w:tcPr>
            <w:tcW w:w="3942" w:type="dxa"/>
          </w:tcPr>
          <w:p w:rsidR="006C1A8C" w:rsidRPr="00AC7971" w:rsidRDefault="004A417C" w:rsidP="00092A0C">
            <w:pPr>
              <w:jc w:val="left"/>
            </w:pPr>
            <w:r>
              <w:t xml:space="preserve">Evaluation criteria per model, </w:t>
            </w:r>
            <w:bookmarkStart w:id="1" w:name="_GoBack"/>
            <w:bookmarkEnd w:id="1"/>
            <w:r>
              <w:t xml:space="preserve">review </w:t>
            </w:r>
          </w:p>
        </w:tc>
        <w:tc>
          <w:tcPr>
            <w:tcW w:w="2384" w:type="dxa"/>
          </w:tcPr>
          <w:p w:rsidR="006C1A8C" w:rsidRPr="00AC7971" w:rsidRDefault="004A417C" w:rsidP="00092A0C">
            <w:pPr>
              <w:jc w:val="left"/>
            </w:pPr>
            <w:r w:rsidRPr="00AC7971">
              <w:t>Jörg Apitzsch</w:t>
            </w:r>
            <w:r w:rsidR="00092A0C">
              <w:t xml:space="preserve">, </w:t>
            </w:r>
            <w:r w:rsidR="00092A0C" w:rsidRPr="00092A0C">
              <w:t xml:space="preserve">Elif </w:t>
            </w:r>
            <w:proofErr w:type="spellStart"/>
            <w:r w:rsidR="00092A0C">
              <w:t>Üstündağ</w:t>
            </w:r>
            <w:proofErr w:type="spellEnd"/>
            <w:r w:rsidR="00092A0C">
              <w:t xml:space="preserve"> </w:t>
            </w:r>
            <w:proofErr w:type="spellStart"/>
            <w:r w:rsidR="00092A0C">
              <w:t>S</w:t>
            </w:r>
            <w:r w:rsidR="00092A0C" w:rsidRPr="00092A0C">
              <w:t>oykan</w:t>
            </w:r>
            <w:proofErr w:type="spellEnd"/>
          </w:p>
        </w:tc>
      </w:tr>
      <w:tr w:rsidR="006C1A8C" w:rsidRPr="00AC7971" w:rsidTr="00C706B6">
        <w:trPr>
          <w:trHeight w:val="352"/>
          <w:jc w:val="center"/>
        </w:trPr>
        <w:tc>
          <w:tcPr>
            <w:tcW w:w="1262" w:type="dxa"/>
          </w:tcPr>
          <w:p w:rsidR="006C1A8C" w:rsidRPr="00AC7971" w:rsidRDefault="006C1A8C" w:rsidP="006C1A8C"/>
        </w:tc>
        <w:tc>
          <w:tcPr>
            <w:tcW w:w="1698" w:type="dxa"/>
          </w:tcPr>
          <w:p w:rsidR="006C1A8C" w:rsidRPr="00AC7971" w:rsidRDefault="006C1A8C" w:rsidP="006C1A8C"/>
        </w:tc>
        <w:tc>
          <w:tcPr>
            <w:tcW w:w="3942" w:type="dxa"/>
          </w:tcPr>
          <w:p w:rsidR="006C1A8C" w:rsidRPr="00AC7971" w:rsidRDefault="006C1A8C" w:rsidP="006C1A8C"/>
        </w:tc>
        <w:tc>
          <w:tcPr>
            <w:tcW w:w="2384" w:type="dxa"/>
          </w:tcPr>
          <w:p w:rsidR="006C1A8C" w:rsidRPr="00AC7971" w:rsidRDefault="006C1A8C" w:rsidP="006C1A8C"/>
        </w:tc>
      </w:tr>
      <w:tr w:rsidR="006C1A8C" w:rsidRPr="00AC7971" w:rsidTr="00C706B6">
        <w:trPr>
          <w:trHeight w:val="352"/>
          <w:jc w:val="center"/>
        </w:trPr>
        <w:tc>
          <w:tcPr>
            <w:tcW w:w="1262" w:type="dxa"/>
          </w:tcPr>
          <w:p w:rsidR="006C1A8C" w:rsidRPr="00AC7971" w:rsidRDefault="006C1A8C" w:rsidP="006C1A8C"/>
        </w:tc>
        <w:tc>
          <w:tcPr>
            <w:tcW w:w="1698" w:type="dxa"/>
          </w:tcPr>
          <w:p w:rsidR="006C1A8C" w:rsidRPr="00AC7971" w:rsidRDefault="006C1A8C" w:rsidP="006C1A8C"/>
        </w:tc>
        <w:tc>
          <w:tcPr>
            <w:tcW w:w="3942" w:type="dxa"/>
          </w:tcPr>
          <w:p w:rsidR="006C1A8C" w:rsidRPr="00AC7971" w:rsidRDefault="006C1A8C" w:rsidP="006C1A8C"/>
        </w:tc>
        <w:tc>
          <w:tcPr>
            <w:tcW w:w="2384" w:type="dxa"/>
          </w:tcPr>
          <w:p w:rsidR="006C1A8C" w:rsidRPr="00AC7971" w:rsidRDefault="006C1A8C" w:rsidP="006C1A8C"/>
        </w:tc>
      </w:tr>
      <w:tr w:rsidR="006C1A8C" w:rsidRPr="00AC7971" w:rsidTr="00C706B6">
        <w:trPr>
          <w:trHeight w:val="352"/>
          <w:jc w:val="center"/>
        </w:trPr>
        <w:tc>
          <w:tcPr>
            <w:tcW w:w="1262" w:type="dxa"/>
          </w:tcPr>
          <w:p w:rsidR="006C1A8C" w:rsidRPr="00AC7971" w:rsidRDefault="006C1A8C" w:rsidP="006C1A8C"/>
        </w:tc>
        <w:tc>
          <w:tcPr>
            <w:tcW w:w="1698" w:type="dxa"/>
          </w:tcPr>
          <w:p w:rsidR="006C1A8C" w:rsidRPr="00AC7971" w:rsidRDefault="006C1A8C" w:rsidP="006C1A8C"/>
        </w:tc>
        <w:tc>
          <w:tcPr>
            <w:tcW w:w="3942" w:type="dxa"/>
          </w:tcPr>
          <w:p w:rsidR="006C1A8C" w:rsidRPr="00AC7971" w:rsidRDefault="006C1A8C" w:rsidP="006C1A8C"/>
        </w:tc>
        <w:tc>
          <w:tcPr>
            <w:tcW w:w="2384" w:type="dxa"/>
          </w:tcPr>
          <w:p w:rsidR="006C1A8C" w:rsidRPr="00AC7971" w:rsidRDefault="006C1A8C" w:rsidP="006C1A8C"/>
        </w:tc>
      </w:tr>
      <w:tr w:rsidR="006C1A8C" w:rsidRPr="00AC7971" w:rsidTr="00C706B6">
        <w:trPr>
          <w:trHeight w:val="352"/>
          <w:jc w:val="center"/>
        </w:trPr>
        <w:tc>
          <w:tcPr>
            <w:tcW w:w="1262" w:type="dxa"/>
          </w:tcPr>
          <w:p w:rsidR="006C1A8C" w:rsidRPr="00AC7971" w:rsidRDefault="006C1A8C" w:rsidP="006C1A8C"/>
        </w:tc>
        <w:tc>
          <w:tcPr>
            <w:tcW w:w="1698" w:type="dxa"/>
          </w:tcPr>
          <w:p w:rsidR="006C1A8C" w:rsidRPr="00AC7971" w:rsidRDefault="006C1A8C" w:rsidP="006C1A8C"/>
        </w:tc>
        <w:tc>
          <w:tcPr>
            <w:tcW w:w="3942" w:type="dxa"/>
          </w:tcPr>
          <w:p w:rsidR="006C1A8C" w:rsidRPr="00AC7971" w:rsidRDefault="006C1A8C" w:rsidP="006C1A8C"/>
        </w:tc>
        <w:tc>
          <w:tcPr>
            <w:tcW w:w="2384" w:type="dxa"/>
          </w:tcPr>
          <w:p w:rsidR="006C1A8C" w:rsidRPr="00AC7971" w:rsidRDefault="006C1A8C" w:rsidP="006C1A8C"/>
        </w:tc>
      </w:tr>
    </w:tbl>
    <w:p w:rsidR="006C1A8C" w:rsidRPr="00AC7971" w:rsidRDefault="006C1A8C" w:rsidP="006C1A8C">
      <w:pPr>
        <w:rPr>
          <w:b/>
          <w:bCs/>
        </w:rPr>
      </w:pPr>
    </w:p>
    <w:p w:rsidR="00C706B6" w:rsidRPr="00AC7971" w:rsidRDefault="00C706B6" w:rsidP="00AC7971">
      <w:pPr>
        <w:pStyle w:val="Heading1Unumbered"/>
        <w:pageBreakBefore w:val="0"/>
      </w:pPr>
      <w:bookmarkStart w:id="2" w:name="_Toc411578951"/>
      <w:r w:rsidRPr="00AC7971">
        <w:rPr>
          <w:color w:val="17365D"/>
        </w:rPr>
        <w:t>Disclaimer</w:t>
      </w:r>
      <w:bookmarkEnd w:id="2"/>
    </w:p>
    <w:p w:rsidR="006C1A8C" w:rsidRPr="00AC7971" w:rsidRDefault="006C1A8C" w:rsidP="006C1A8C">
      <w:r w:rsidRPr="00AC7971">
        <w:t xml:space="preserve">This paper </w:t>
      </w:r>
      <w:r w:rsidR="00342481">
        <w:t>adopts findings of</w:t>
      </w:r>
      <w:r w:rsidRPr="00AC7971">
        <w:t xml:space="preserve"> other LSPs, namely to be mentioned: </w:t>
      </w:r>
      <w:proofErr w:type="spellStart"/>
      <w:r w:rsidRPr="00AC7971">
        <w:t>epSOS</w:t>
      </w:r>
      <w:proofErr w:type="spellEnd"/>
      <w:r w:rsidRPr="00AC7971">
        <w:t xml:space="preserve"> “D.3.7.2. </w:t>
      </w:r>
      <w:proofErr w:type="gramStart"/>
      <w:r w:rsidRPr="00AC7971">
        <w:t>Final Security Services Specification Definition”.</w:t>
      </w:r>
      <w:proofErr w:type="gramEnd"/>
      <w:r w:rsidRPr="00AC7971">
        <w:t xml:space="preserve"> </w:t>
      </w:r>
    </w:p>
    <w:p w:rsidR="006C1A8C" w:rsidRPr="00AC7971" w:rsidRDefault="006C1A8C" w:rsidP="006C1A8C">
      <w:r w:rsidRPr="00AC7971">
        <w:t xml:space="preserve">Further on, WP6.3 contributions to e-SENS “D6.2 Enterprise Interoperability Architecture n°1” as well as relevant WP6.3 internal workouts are incorporated, like “Reference models for cross-border signing and signature validation”, provided by Jon Ølnes in July 2014. </w:t>
      </w:r>
    </w:p>
    <w:p w:rsidR="00C706B6" w:rsidRPr="00AC7971" w:rsidRDefault="00C706B6" w:rsidP="006C1A8C"/>
    <w:p w:rsidR="006C1A8C" w:rsidRPr="00AC7971" w:rsidRDefault="006C1A8C" w:rsidP="006C1A8C"/>
    <w:p w:rsidR="006C1A8C" w:rsidRPr="00AC7971" w:rsidRDefault="006C1A8C" w:rsidP="006C1A8C">
      <w:pPr>
        <w:pStyle w:val="berschrift1"/>
      </w:pPr>
      <w:bookmarkStart w:id="3" w:name="_Toc411578952"/>
      <w:r w:rsidRPr="00AC7971">
        <w:lastRenderedPageBreak/>
        <w:t>Aims and Scope</w:t>
      </w:r>
      <w:bookmarkEnd w:id="3"/>
    </w:p>
    <w:p w:rsidR="006C1A8C" w:rsidRPr="00AC7971" w:rsidRDefault="006C1A8C" w:rsidP="006C1A8C">
      <w:proofErr w:type="gramStart"/>
      <w:r w:rsidRPr="00AC7971">
        <w:t>eIDAS</w:t>
      </w:r>
      <w:proofErr w:type="gramEnd"/>
      <w:r w:rsidRPr="00AC7971">
        <w:t xml:space="preserve"> states: “Building trust in the online environment is key to economic and social development. Lack of trust, in particular because of a perceived lack of legal certainty, makes consumers, businesses and administrations hesitate to carry out transactions electronically and to adopt new services.” In line with the objectives of eIDAS, e-SENS WP6 aims to provide Building Blocks to interconnect IT-solutions used by public administration, their providers and customers in different domains and/or EUMS in an interoperable, secure and trustworthy manner. </w:t>
      </w:r>
    </w:p>
    <w:p w:rsidR="006C1A8C" w:rsidRDefault="006C1A8C" w:rsidP="006C1A8C">
      <w:r w:rsidRPr="00AC7971">
        <w:t>Related HHB and ABBs descriptions provided with D6.2 identify different models and technical means to establish trust in and between IT-Systems involved in cross-border / cross-solution electronic transactions. These “Trust Services” (TS) are electronic services which enhance trust and confidence in electronic transactions, provided by “Trust Service Providers” (TSP)</w:t>
      </w:r>
      <w:r w:rsidRPr="00AC7971">
        <w:rPr>
          <w:b/>
          <w:bCs/>
          <w:i/>
          <w:iCs/>
        </w:rPr>
        <w:t xml:space="preserve">. </w:t>
      </w:r>
      <w:r w:rsidRPr="00AC7971">
        <w:t xml:space="preserve">Consumers and Providers of the interconnected distributed solutions must be able to rely on and validate the authenticity and trustworthiness of each service / service-provider carrying out electronic transactions; this implies mutual trust between services/nodes involved. </w:t>
      </w:r>
    </w:p>
    <w:p w:rsidR="00792F05" w:rsidRPr="00AC7971" w:rsidRDefault="00792F05" w:rsidP="006C1A8C">
      <w:r>
        <w:t xml:space="preserve">This paper summarizes </w:t>
      </w:r>
      <w:r w:rsidR="00BD6791">
        <w:t>a selection of the most common</w:t>
      </w:r>
      <w:r>
        <w:t xml:space="preserve"> models</w:t>
      </w:r>
      <w:r w:rsidR="00BD6791">
        <w:t>, most of them</w:t>
      </w:r>
      <w:r w:rsidR="00FE4EDB">
        <w:t xml:space="preserve"> </w:t>
      </w:r>
      <w:r w:rsidR="00BD6791">
        <w:t xml:space="preserve">already </w:t>
      </w:r>
      <w:r w:rsidR="00FE4EDB">
        <w:t>assessed in D6.1 and further generalized in D6.2</w:t>
      </w:r>
      <w:r w:rsidR="00BD6791">
        <w:t xml:space="preserve">. This overview is intended to facilitate </w:t>
      </w:r>
      <w:r w:rsidR="00FE4EDB">
        <w:t xml:space="preserve">Trust Model preference decisions actually to be taken by WP5 piloting domains. </w:t>
      </w:r>
      <w:r w:rsidR="007E0F1D">
        <w:t>It is assu</w:t>
      </w:r>
      <w:r w:rsidR="00B0620F">
        <w:t>med, that there is no “</w:t>
      </w:r>
      <w:r w:rsidR="00A03195">
        <w:t>one solution</w:t>
      </w:r>
      <w:r w:rsidR="00BD6791">
        <w:t xml:space="preserve"> fit</w:t>
      </w:r>
      <w:r w:rsidR="00B0620F">
        <w:t xml:space="preserve"> for all”, but choices</w:t>
      </w:r>
      <w:r w:rsidR="00FE4EDB">
        <w:t xml:space="preserve"> should be aligned with respective </w:t>
      </w:r>
      <w:r w:rsidR="00F6417A">
        <w:t>Trust Model preferences</w:t>
      </w:r>
      <w:r w:rsidR="00FE4EDB">
        <w:t xml:space="preserve"> of </w:t>
      </w:r>
      <w:r w:rsidR="00F6417A">
        <w:t>EC/</w:t>
      </w:r>
      <w:r w:rsidR="00FE4EDB">
        <w:t xml:space="preserve">ISA for </w:t>
      </w:r>
      <w:proofErr w:type="spellStart"/>
      <w:r w:rsidR="00FE4EDB">
        <w:t>for</w:t>
      </w:r>
      <w:proofErr w:type="spellEnd"/>
      <w:r w:rsidR="00FE4EDB">
        <w:t xml:space="preserve"> CEF</w:t>
      </w:r>
      <w:r w:rsidR="00B0620F">
        <w:t>.</w:t>
      </w:r>
      <w:r w:rsidR="00FE4EDB">
        <w:t xml:space="preserve"> </w:t>
      </w:r>
    </w:p>
    <w:p w:rsidR="006C1A8C" w:rsidRPr="00AC7971" w:rsidRDefault="006C1A8C" w:rsidP="006C1A8C">
      <w:r w:rsidRPr="00AC7971">
        <w:t>TSPs and their related service definitions have to be registered and supervised by means of a governance model and policy assessment process to be defined by WP4 and WP3; Governance models and policies may differ according to domain-specific requirements. Trust Circle Management systems must provide registration, maintenance and lookup services for TSPs covered by this Trust Circle. Consumers of e-SENS electronic services must be able to assess at any time the actual policy / service quality and trust status of TSPs services offered by them.</w:t>
      </w:r>
    </w:p>
    <w:p w:rsidR="006C1A8C" w:rsidRPr="00AC7971" w:rsidRDefault="006C1A8C" w:rsidP="006C1A8C">
      <w:r w:rsidRPr="00AC7971">
        <w:t>Services that must be trustworthy in the context of e-SENS are:</w:t>
      </w:r>
    </w:p>
    <w:p w:rsidR="006C1A8C" w:rsidRPr="00AC7971" w:rsidRDefault="006C1A8C" w:rsidP="006C1A8C">
      <w:pPr>
        <w:numPr>
          <w:ilvl w:val="0"/>
          <w:numId w:val="15"/>
        </w:numPr>
      </w:pPr>
      <w:r w:rsidRPr="00AC7971">
        <w:t>Services for application and validation of e-Signatures</w:t>
      </w:r>
      <w:r w:rsidR="004B435A">
        <w:t xml:space="preserve"> and e-Seals</w:t>
      </w:r>
    </w:p>
    <w:p w:rsidR="006C1A8C" w:rsidRPr="00AC7971" w:rsidRDefault="006C1A8C" w:rsidP="006C1A8C">
      <w:pPr>
        <w:numPr>
          <w:ilvl w:val="0"/>
          <w:numId w:val="15"/>
        </w:numPr>
      </w:pPr>
      <w:r w:rsidRPr="00AC7971">
        <w:t>Services attesting electronic identities</w:t>
      </w:r>
    </w:p>
    <w:p w:rsidR="006C1A8C" w:rsidRPr="00AC7971" w:rsidRDefault="006C1A8C" w:rsidP="006C1A8C">
      <w:pPr>
        <w:numPr>
          <w:ilvl w:val="0"/>
          <w:numId w:val="15"/>
        </w:numPr>
      </w:pPr>
      <w:r w:rsidRPr="00AC7971">
        <w:t>e-Delivery/e-Interaction services</w:t>
      </w:r>
    </w:p>
    <w:p w:rsidR="006C1A8C" w:rsidRPr="00AC7971" w:rsidRDefault="006C1A8C" w:rsidP="006C1A8C">
      <w:pPr>
        <w:numPr>
          <w:ilvl w:val="0"/>
          <w:numId w:val="15"/>
        </w:numPr>
      </w:pPr>
      <w:r w:rsidRPr="00AC7971">
        <w:t>Time-stamping services</w:t>
      </w:r>
    </w:p>
    <w:p w:rsidR="006C1A8C" w:rsidRPr="00AC7971" w:rsidRDefault="006C1A8C" w:rsidP="006C1A8C">
      <w:pPr>
        <w:numPr>
          <w:ilvl w:val="0"/>
          <w:numId w:val="15"/>
        </w:numPr>
      </w:pPr>
      <w:r w:rsidRPr="00AC7971">
        <w:t>Directory-Services used to discover attributes, capabilities and constraints of services and end-entities in the network</w:t>
      </w:r>
    </w:p>
    <w:p w:rsidR="006C1A8C" w:rsidRPr="00AC7971" w:rsidRDefault="006C1A8C" w:rsidP="006C1A8C">
      <w:pPr>
        <w:numPr>
          <w:ilvl w:val="0"/>
          <w:numId w:val="15"/>
        </w:numPr>
      </w:pPr>
      <w:r w:rsidRPr="00AC7971">
        <w:t>Services issuing different types of security tokens (e.g. Certification Authorities providing X509-Certificates, Security Token Services issuing SAML Token, Attribute Service Providers)</w:t>
      </w:r>
    </w:p>
    <w:p w:rsidR="006C1A8C" w:rsidRPr="00AC7971" w:rsidRDefault="006C1A8C" w:rsidP="006C1A8C">
      <w:pPr>
        <w:numPr>
          <w:ilvl w:val="0"/>
          <w:numId w:val="15"/>
        </w:numPr>
      </w:pPr>
      <w:r w:rsidRPr="00AC7971">
        <w:t>Services providing sources of authenticated documents / long term archiving and signature preservation</w:t>
      </w:r>
    </w:p>
    <w:p w:rsidR="006C1A8C" w:rsidRPr="00AC7971" w:rsidRDefault="006C1A8C" w:rsidP="006C1A8C">
      <w:pPr>
        <w:numPr>
          <w:ilvl w:val="0"/>
          <w:numId w:val="15"/>
        </w:numPr>
      </w:pPr>
      <w:r w:rsidRPr="00AC7971">
        <w:t xml:space="preserve">Services performing format/protocol transformations and semantic mapping. </w:t>
      </w:r>
    </w:p>
    <w:p w:rsidR="006C1A8C" w:rsidRPr="00AC7971" w:rsidRDefault="006C1A8C" w:rsidP="006C1A8C">
      <w:r w:rsidRPr="00AC7971">
        <w:t>Trust in distributed environments is established by using cryptographic mechanisms for</w:t>
      </w:r>
    </w:p>
    <w:p w:rsidR="006C1A8C" w:rsidRPr="00AC7971" w:rsidRDefault="006C1A8C" w:rsidP="006C1A8C">
      <w:pPr>
        <w:numPr>
          <w:ilvl w:val="0"/>
          <w:numId w:val="21"/>
        </w:numPr>
      </w:pPr>
      <w:r w:rsidRPr="00AC7971">
        <w:t>authenticating entities involved in electronic transactions;</w:t>
      </w:r>
    </w:p>
    <w:p w:rsidR="006C1A8C" w:rsidRPr="00AC7971" w:rsidRDefault="006C1A8C" w:rsidP="006C1A8C">
      <w:pPr>
        <w:numPr>
          <w:ilvl w:val="0"/>
          <w:numId w:val="21"/>
        </w:numPr>
      </w:pPr>
      <w:r w:rsidRPr="00AC7971">
        <w:t>authenticating claims presented by interacting entities, as may be required specific to underlying business scenario;</w:t>
      </w:r>
    </w:p>
    <w:p w:rsidR="006C1A8C" w:rsidRPr="00AC7971" w:rsidRDefault="006C1A8C" w:rsidP="006C1A8C">
      <w:pPr>
        <w:numPr>
          <w:ilvl w:val="0"/>
          <w:numId w:val="21"/>
        </w:numPr>
      </w:pPr>
      <w:r w:rsidRPr="00AC7971">
        <w:lastRenderedPageBreak/>
        <w:t>authenticating requests to and outcomes of services, mostly by signing requests and responses/data delivered;</w:t>
      </w:r>
    </w:p>
    <w:p w:rsidR="006C1A8C" w:rsidRDefault="006C1A8C" w:rsidP="006C1A8C">
      <w:pPr>
        <w:numPr>
          <w:ilvl w:val="0"/>
          <w:numId w:val="21"/>
        </w:numPr>
      </w:pPr>
      <w:proofErr w:type="gramStart"/>
      <w:r w:rsidRPr="00AC7971">
        <w:t>securing</w:t>
      </w:r>
      <w:proofErr w:type="gramEnd"/>
      <w:r w:rsidRPr="00AC7971">
        <w:t xml:space="preserve"> data exchanged between entities (by means of signature and/or encryption).</w:t>
      </w:r>
    </w:p>
    <w:p w:rsidR="00A03195" w:rsidRDefault="004B435A" w:rsidP="004B435A">
      <w:pPr>
        <w:spacing w:before="240"/>
      </w:pPr>
      <w:r w:rsidRPr="00A03195">
        <w:rPr>
          <w:b/>
        </w:rPr>
        <w:t>Note:</w:t>
      </w:r>
      <w:r w:rsidRPr="00A03195">
        <w:t xml:space="preserve"> </w:t>
      </w:r>
    </w:p>
    <w:p w:rsidR="00A03195" w:rsidRDefault="004B435A" w:rsidP="004B435A">
      <w:pPr>
        <w:pStyle w:val="Listenabsatz"/>
        <w:numPr>
          <w:ilvl w:val="0"/>
          <w:numId w:val="30"/>
        </w:numPr>
        <w:spacing w:before="240"/>
      </w:pPr>
      <w:r w:rsidRPr="00A03195">
        <w:t>The Trust Realms that are identified by bilateral agreements to fulfil the specific requirements of the domains are out of scope this document.</w:t>
      </w:r>
    </w:p>
    <w:p w:rsidR="00A03195" w:rsidRPr="00AC7971" w:rsidRDefault="00A03195" w:rsidP="004B435A">
      <w:pPr>
        <w:pStyle w:val="Listenabsatz"/>
        <w:numPr>
          <w:ilvl w:val="0"/>
          <w:numId w:val="30"/>
        </w:numPr>
        <w:spacing w:before="240"/>
      </w:pPr>
      <w:r>
        <w:t xml:space="preserve">If domains have needs for different Trust Models /-mechanisms, this may have an impact on </w:t>
      </w:r>
      <w:r w:rsidR="00EB03AF">
        <w:t xml:space="preserve">the possibility to </w:t>
      </w:r>
      <w:r>
        <w:t>shar</w:t>
      </w:r>
      <w:r w:rsidR="00EB03AF">
        <w:t>e</w:t>
      </w:r>
      <w:r>
        <w:t xml:space="preserve"> certain services in a cross-domain manner, like e.g. e-Delivery Gateways / </w:t>
      </w:r>
      <w:proofErr w:type="spellStart"/>
      <w:r>
        <w:t>Accesspoints</w:t>
      </w:r>
      <w:proofErr w:type="spellEnd"/>
      <w:r>
        <w:t xml:space="preserve"> / National Contact points.  </w:t>
      </w:r>
      <w:r w:rsidR="00EB03AF">
        <w:t xml:space="preserve">To deal with the different requirements for authentication/authorization, it may require to set up such service instances per domain, at least when generally restricting to X509v3 certificates as security tokens.  </w:t>
      </w:r>
    </w:p>
    <w:p w:rsidR="006C1A8C" w:rsidRPr="00AC7971" w:rsidRDefault="006C1A8C" w:rsidP="006C1A8C">
      <w:pPr>
        <w:pStyle w:val="berschrift1"/>
      </w:pPr>
      <w:bookmarkStart w:id="4" w:name="_Toc411578953"/>
      <w:r w:rsidRPr="00AC7971">
        <w:lastRenderedPageBreak/>
        <w:t>Assumptions</w:t>
      </w:r>
      <w:bookmarkEnd w:id="4"/>
    </w:p>
    <w:p w:rsidR="006C1A8C" w:rsidRPr="00AC7971" w:rsidRDefault="006C1A8C" w:rsidP="006C1A8C">
      <w:r w:rsidRPr="00AC7971">
        <w:t xml:space="preserve">We assume Trust Realms – aka “Trust Circles” - are established on domain- or Member state level for existing solutions and their service providers. </w:t>
      </w:r>
      <w:proofErr w:type="gramStart"/>
      <w:r w:rsidRPr="00AC7971">
        <w:t>e-SENS</w:t>
      </w:r>
      <w:proofErr w:type="gramEnd"/>
      <w:r w:rsidRPr="00AC7971">
        <w:t xml:space="preserve"> does not impose changes to domestic Trust Realms, anyhow Realms accepted to join the e-SENS Trust Circle must fulfil minimum policy and government model requirements, to be detailed by WP3 and WP4 with respect to existing MS or EU regulation.  To establish trust when interconnecting these Trust Circles established on domain- or Member State (MS) level, a trust relationship must be build up between these realms, including eventually needed external services. If needed and feasible, domestic Trust Realm means for proving authenticity must be technically mapped to those of the e-SENS infrastructure.</w:t>
      </w:r>
    </w:p>
    <w:p w:rsidR="006C1A8C" w:rsidRPr="00AC7971" w:rsidRDefault="006C1A8C" w:rsidP="006C1A8C">
      <w:r w:rsidRPr="00AC7971">
        <w:t xml:space="preserve">Independent from the Trust Model used, e-SENS basically relies on X509v3 certificates as security tokens; their actual validity must be verified by the Relying Party by means of OCSP/CRL or other trusted certificate validation services. </w:t>
      </w:r>
    </w:p>
    <w:p w:rsidR="00F01C84" w:rsidRDefault="006C1A8C" w:rsidP="006C1A8C">
      <w:r w:rsidRPr="00AC7971">
        <w:t>This is seen in line with result of the ENISA-survey “Trusted e-ID Infrastructures and services in EU”</w:t>
      </w:r>
      <w:r w:rsidRPr="00AC7971">
        <w:rPr>
          <w:vertAlign w:val="superscript"/>
        </w:rPr>
        <w:footnoteReference w:id="1"/>
      </w:r>
      <w:r w:rsidRPr="00AC7971">
        <w:t>, depicting that 88% of TSPs already use electronic certificates to grant access to their services. Even if additional security tokens like e.g. SAML assertions are used, they are usually signed by the issuing Security Token Service</w:t>
      </w:r>
      <w:bookmarkStart w:id="5" w:name="_Ref411429963"/>
      <w:r w:rsidRPr="00AC7971">
        <w:rPr>
          <w:vertAlign w:val="superscript"/>
        </w:rPr>
        <w:footnoteReference w:id="2"/>
      </w:r>
      <w:bookmarkEnd w:id="5"/>
      <w:r w:rsidRPr="00AC7971">
        <w:t xml:space="preserve"> (STS, which again must be a TSP) using his X509v3 certificate.</w:t>
      </w:r>
    </w:p>
    <w:p w:rsidR="00C86C4F" w:rsidRDefault="00F01C84" w:rsidP="006C1A8C">
      <w:r>
        <w:t>For Trust Models in discussion here, it is assumed</w:t>
      </w:r>
      <w:r w:rsidR="006C1A8C" w:rsidRPr="00AC7971">
        <w:t xml:space="preserve"> </w:t>
      </w:r>
      <w:r>
        <w:t>that all of them</w:t>
      </w:r>
      <w:r w:rsidR="00F912A6">
        <w:t xml:space="preserve">, namely the PKI infrastructure used behind, are able to fulfil basic technical and operational security requirements as specified by related </w:t>
      </w:r>
      <w:proofErr w:type="spellStart"/>
      <w:r w:rsidR="00F912A6">
        <w:t>related</w:t>
      </w:r>
      <w:proofErr w:type="spellEnd"/>
      <w:r w:rsidR="00F912A6">
        <w:t xml:space="preserve"> ETSI </w:t>
      </w:r>
      <w:r w:rsidR="000B46D3">
        <w:t xml:space="preserve">and CEN </w:t>
      </w:r>
      <w:r w:rsidR="00F912A6">
        <w:t xml:space="preserve">specifications for TS / TSPs (namely EN 319 </w:t>
      </w:r>
      <w:r w:rsidR="00924E31">
        <w:t>series, TS 119 312 on Cryptograph</w:t>
      </w:r>
      <w:r w:rsidR="00F912A6">
        <w:t>ic suites</w:t>
      </w:r>
      <w:r w:rsidR="00D2468A">
        <w:t xml:space="preserve"> - about to be published in final versions in course of 2015</w:t>
      </w:r>
      <w:r w:rsidR="00F912A6">
        <w:t xml:space="preserve">). </w:t>
      </w:r>
      <w:r w:rsidR="000B46D3">
        <w:t>CE</w:t>
      </w:r>
      <w:r w:rsidR="00D2468A">
        <w:t>N</w:t>
      </w:r>
      <w:r w:rsidR="000B46D3">
        <w:t xml:space="preserve"> and ETSI standards in turn are based on according international standards.</w:t>
      </w:r>
    </w:p>
    <w:p w:rsidR="004B435A" w:rsidRDefault="00924E31" w:rsidP="006C1A8C">
      <w:r w:rsidRPr="005D29B3">
        <w:t>Related to PKI Security Serv</w:t>
      </w:r>
      <w:r w:rsidR="00D2468A" w:rsidRPr="005D29B3">
        <w:t>ic</w:t>
      </w:r>
      <w:r w:rsidRPr="005D29B3">
        <w:t xml:space="preserve">es, </w:t>
      </w:r>
      <w:r w:rsidR="00C86C4F" w:rsidRPr="005D29B3">
        <w:t xml:space="preserve">LSP </w:t>
      </w:r>
      <w:proofErr w:type="spellStart"/>
      <w:r w:rsidR="00C86C4F" w:rsidRPr="005D29B3">
        <w:t>epSOS</w:t>
      </w:r>
      <w:proofErr w:type="spellEnd"/>
      <w:r w:rsidR="00C86C4F" w:rsidRPr="005D29B3">
        <w:t xml:space="preserve"> provided </w:t>
      </w:r>
      <w:r w:rsidRPr="005D29B3">
        <w:t>very precise</w:t>
      </w:r>
      <w:r w:rsidR="00C86C4F" w:rsidRPr="005D29B3">
        <w:t xml:space="preserve"> re</w:t>
      </w:r>
      <w:r w:rsidRPr="005D29B3">
        <w:t>quirements and profiles in its d</w:t>
      </w:r>
      <w:r w:rsidR="00C86C4F" w:rsidRPr="005D29B3">
        <w:t>eliverable D3.7.2</w:t>
      </w:r>
      <w:r w:rsidR="00C86C4F" w:rsidRPr="005D29B3">
        <w:rPr>
          <w:rStyle w:val="Funotenzeichen"/>
        </w:rPr>
        <w:footnoteReference w:id="3"/>
      </w:r>
      <w:r w:rsidR="00C86C4F" w:rsidRPr="005D29B3">
        <w:t>,</w:t>
      </w:r>
      <w:r w:rsidRPr="005D29B3">
        <w:t xml:space="preserve"> which </w:t>
      </w:r>
      <w:r w:rsidR="004B435A" w:rsidRPr="005D29B3">
        <w:t xml:space="preserve">as far as being not domain-specific </w:t>
      </w:r>
      <w:r w:rsidRPr="005D29B3">
        <w:t>should be adopted be e-SENS</w:t>
      </w:r>
      <w:r w:rsidR="00D2468A" w:rsidRPr="005D29B3">
        <w:t xml:space="preserve"> -</w:t>
      </w:r>
      <w:r w:rsidRPr="005D29B3">
        <w:t xml:space="preserve"> probably to be aligned </w:t>
      </w:r>
      <w:r w:rsidR="00D2468A" w:rsidRPr="005D29B3">
        <w:t xml:space="preserve">with mentioned ETSI </w:t>
      </w:r>
      <w:proofErr w:type="spellStart"/>
      <w:r w:rsidR="00D2468A" w:rsidRPr="005D29B3">
        <w:t>ENs.</w:t>
      </w:r>
      <w:proofErr w:type="spellEnd"/>
      <w:r w:rsidR="000B46D3">
        <w:t xml:space="preserve"> </w:t>
      </w:r>
      <w:r w:rsidR="00F912A6">
        <w:t xml:space="preserve"> </w:t>
      </w:r>
    </w:p>
    <w:p w:rsidR="006C1A8C" w:rsidRPr="00AC7971" w:rsidRDefault="006C1A8C" w:rsidP="006C1A8C"/>
    <w:p w:rsidR="00F00259" w:rsidRDefault="00F00259" w:rsidP="006C1A8C">
      <w:pPr>
        <w:pStyle w:val="berschrift1"/>
      </w:pPr>
      <w:bookmarkStart w:id="6" w:name="_Ref411503947"/>
      <w:bookmarkStart w:id="7" w:name="_Toc411578954"/>
      <w:r>
        <w:lastRenderedPageBreak/>
        <w:t>Evaluation Criteria for Trust Models and Services</w:t>
      </w:r>
      <w:bookmarkEnd w:id="6"/>
      <w:bookmarkEnd w:id="7"/>
    </w:p>
    <w:p w:rsidR="00F01C84" w:rsidRDefault="00F01C84" w:rsidP="00F00259"/>
    <w:p w:rsidR="00F00259" w:rsidRDefault="009728ED" w:rsidP="00F00259">
      <w:r>
        <w:t xml:space="preserve">As mentioned above, applicability of different models with respect to security requirements is assumed and thus security-related rating is left out here. </w:t>
      </w:r>
      <w:r w:rsidR="00F00259">
        <w:t>Models described in this paper are discussed regarding following criteria:</w:t>
      </w:r>
    </w:p>
    <w:p w:rsidR="00F01C84" w:rsidRDefault="00F01C84" w:rsidP="00F00259">
      <w:pPr>
        <w:pStyle w:val="Listenabsatz"/>
        <w:numPr>
          <w:ilvl w:val="0"/>
          <w:numId w:val="25"/>
        </w:numPr>
      </w:pPr>
      <w:r>
        <w:t>General applicability regarding establishing cross-realm trust</w:t>
      </w:r>
    </w:p>
    <w:p w:rsidR="004A2552" w:rsidRDefault="004A2552" w:rsidP="004A2552">
      <w:pPr>
        <w:pStyle w:val="Listenabsatz"/>
        <w:numPr>
          <w:ilvl w:val="0"/>
          <w:numId w:val="25"/>
        </w:numPr>
      </w:pPr>
      <w:r>
        <w:t>Support of Model by IT solutions available on the market</w:t>
      </w:r>
    </w:p>
    <w:p w:rsidR="000B46D3" w:rsidRDefault="000B46D3" w:rsidP="00F00259">
      <w:pPr>
        <w:pStyle w:val="Listenabsatz"/>
        <w:numPr>
          <w:ilvl w:val="0"/>
          <w:numId w:val="25"/>
        </w:numPr>
      </w:pPr>
      <w:r>
        <w:t>Degree of adoption of model by MS</w:t>
      </w:r>
    </w:p>
    <w:p w:rsidR="004A2552" w:rsidRDefault="004A2552" w:rsidP="00F00259">
      <w:pPr>
        <w:pStyle w:val="Listenabsatz"/>
        <w:numPr>
          <w:ilvl w:val="0"/>
          <w:numId w:val="25"/>
        </w:numPr>
      </w:pPr>
      <w:r>
        <w:t>Scalability</w:t>
      </w:r>
    </w:p>
    <w:p w:rsidR="009728ED" w:rsidRDefault="004A2552" w:rsidP="00F00259">
      <w:pPr>
        <w:pStyle w:val="Listenabsatz"/>
        <w:numPr>
          <w:ilvl w:val="0"/>
          <w:numId w:val="25"/>
        </w:numPr>
      </w:pPr>
      <w:r>
        <w:t>Degree of standardisation of service and its interfaces, i</w:t>
      </w:r>
      <w:r w:rsidR="009728ED">
        <w:t xml:space="preserve">mplementation </w:t>
      </w:r>
      <w:r>
        <w:t>challenges</w:t>
      </w:r>
    </w:p>
    <w:p w:rsidR="00F00259" w:rsidRDefault="009728ED" w:rsidP="00F00259">
      <w:pPr>
        <w:pStyle w:val="Listenabsatz"/>
        <w:numPr>
          <w:ilvl w:val="0"/>
          <w:numId w:val="25"/>
        </w:numPr>
      </w:pPr>
      <w:r>
        <w:t>Efforts regarding operational</w:t>
      </w:r>
      <w:r w:rsidR="00F01C84">
        <w:t xml:space="preserve"> </w:t>
      </w:r>
      <w:r>
        <w:t>setup / maintenance</w:t>
      </w:r>
    </w:p>
    <w:p w:rsidR="00F00259" w:rsidRDefault="009728ED" w:rsidP="009728ED">
      <w:pPr>
        <w:pStyle w:val="Listenabsatz"/>
        <w:numPr>
          <w:ilvl w:val="0"/>
          <w:numId w:val="25"/>
        </w:numPr>
      </w:pPr>
      <w:r>
        <w:t>Business model – how is operation of the service financed? Basically three models are possible:</w:t>
      </w:r>
    </w:p>
    <w:p w:rsidR="00782D90" w:rsidRDefault="00782D90" w:rsidP="00782D90">
      <w:pPr>
        <w:pStyle w:val="Listenabsatz"/>
        <w:numPr>
          <w:ilvl w:val="1"/>
          <w:numId w:val="25"/>
        </w:numPr>
      </w:pPr>
      <w:r>
        <w:t>Commercial service based on fees for use of the service;</w:t>
      </w:r>
    </w:p>
    <w:p w:rsidR="00782D90" w:rsidRDefault="00782D90" w:rsidP="00782D90">
      <w:pPr>
        <w:pStyle w:val="Listenabsatz"/>
        <w:numPr>
          <w:ilvl w:val="1"/>
          <w:numId w:val="25"/>
        </w:numPr>
      </w:pPr>
      <w:r>
        <w:t>Government funding;</w:t>
      </w:r>
    </w:p>
    <w:p w:rsidR="00782D90" w:rsidRDefault="00782D90" w:rsidP="00782D90">
      <w:pPr>
        <w:pStyle w:val="Listenabsatz"/>
        <w:numPr>
          <w:ilvl w:val="1"/>
          <w:numId w:val="25"/>
        </w:numPr>
      </w:pPr>
      <w:r>
        <w:t>Funding by the actors covered by the service.</w:t>
      </w:r>
    </w:p>
    <w:p w:rsidR="00782D90" w:rsidRDefault="00782D90" w:rsidP="009728ED">
      <w:pPr>
        <w:pStyle w:val="Listenabsatz"/>
        <w:numPr>
          <w:ilvl w:val="0"/>
          <w:numId w:val="25"/>
        </w:numPr>
      </w:pPr>
      <w:r>
        <w:t>Liability issues</w:t>
      </w:r>
    </w:p>
    <w:p w:rsidR="005D29B3" w:rsidRDefault="005D29B3" w:rsidP="005D29B3"/>
    <w:p w:rsidR="005D29B3" w:rsidRPr="005D29B3" w:rsidRDefault="005D29B3" w:rsidP="005D29B3">
      <w:pPr>
        <w:rPr>
          <w:i/>
        </w:rPr>
      </w:pPr>
      <w:r w:rsidRPr="005D29B3">
        <w:rPr>
          <w:i/>
          <w:highlight w:val="yellow"/>
        </w:rPr>
        <w:t xml:space="preserve">Author: More to be considered, e.g. cross-domain </w:t>
      </w:r>
      <w:proofErr w:type="gramStart"/>
      <w:r w:rsidRPr="005D29B3">
        <w:rPr>
          <w:i/>
          <w:highlight w:val="yellow"/>
        </w:rPr>
        <w:t>applicability ?</w:t>
      </w:r>
      <w:proofErr w:type="gramEnd"/>
    </w:p>
    <w:p w:rsidR="006C1A8C" w:rsidRPr="00AC7971" w:rsidRDefault="006C1A8C" w:rsidP="004A417C">
      <w:pPr>
        <w:pStyle w:val="berschrift1"/>
      </w:pPr>
      <w:bookmarkStart w:id="8" w:name="_Toc411578955"/>
      <w:r w:rsidRPr="00AC7971">
        <w:lastRenderedPageBreak/>
        <w:t>Brief Overview on Trust Models</w:t>
      </w:r>
      <w:bookmarkEnd w:id="8"/>
    </w:p>
    <w:p w:rsidR="006C1A8C" w:rsidRPr="00AC7971" w:rsidRDefault="006C1A8C" w:rsidP="006C1A8C">
      <w:r w:rsidRPr="00AC7971">
        <w:t>The different Trust Models described below may be applied as alternatives or even being used in a hybrid manner, depending on the e-SENS piloting domain needs. Definitions and guidelines on different Trust Models have already been given in “Liberty Trust Models Guidelines version 1.0” by the Liberty Alliance Project in 2003</w:t>
      </w:r>
      <w:r w:rsidRPr="00AC7971">
        <w:rPr>
          <w:vertAlign w:val="superscript"/>
        </w:rPr>
        <w:footnoteReference w:id="4"/>
      </w:r>
      <w:r w:rsidRPr="00AC7971">
        <w:t>, in 2004 adopted by the OASIS Security Services Technical Committee in “Trust Models Guidelines”</w:t>
      </w:r>
      <w:bookmarkStart w:id="9" w:name="_Ref411417684"/>
      <w:r w:rsidRPr="00AC7971">
        <w:rPr>
          <w:vertAlign w:val="superscript"/>
        </w:rPr>
        <w:footnoteReference w:id="5"/>
      </w:r>
      <w:bookmarkEnd w:id="9"/>
      <w:r w:rsidRPr="00AC7971">
        <w:t>.</w:t>
      </w:r>
    </w:p>
    <w:p w:rsidR="006C1A8C" w:rsidRPr="00AC7971" w:rsidRDefault="00C706B6" w:rsidP="00AC7971">
      <w:pPr>
        <w:pStyle w:val="berschrift2"/>
      </w:pPr>
      <w:r w:rsidRPr="00AC7971">
        <w:t xml:space="preserve"> </w:t>
      </w:r>
      <w:bookmarkStart w:id="10" w:name="_Toc411578956"/>
      <w:r w:rsidRPr="00AC7971">
        <w:t>Direct Trust</w:t>
      </w:r>
      <w:r w:rsidR="00322A5B">
        <w:t xml:space="preserve"> – Mutual Key Exchange</w:t>
      </w:r>
      <w:bookmarkEnd w:id="10"/>
    </w:p>
    <w:p w:rsidR="00322A5B" w:rsidRDefault="00AC7971" w:rsidP="006C1A8C">
      <w:r w:rsidRPr="00AC7971">
        <w:t>WS-Trust</w:t>
      </w:r>
      <w:r w:rsidRPr="00AC7971">
        <w:rPr>
          <w:vertAlign w:val="superscript"/>
        </w:rPr>
        <w:footnoteReference w:id="6"/>
      </w:r>
      <w:r w:rsidRPr="00AC7971">
        <w:t xml:space="preserve"> defines: “Direct trust is when a relying party accepts as true all (or some subset of) the claims in th</w:t>
      </w:r>
      <w:r w:rsidR="00322A5B">
        <w:t xml:space="preserve">e token sent by the requestor”, even more concrete defined </w:t>
      </w:r>
      <w:r w:rsidR="006C1A8C" w:rsidRPr="00AC7971">
        <w:t>Liberty Alliance</w:t>
      </w:r>
      <w:r w:rsidR="00322A5B">
        <w:t xml:space="preserve">: </w:t>
      </w:r>
      <w:r w:rsidR="006C1A8C" w:rsidRPr="00AC7971">
        <w:t xml:space="preserve">“Direct Trust is obtained when communicating entities hold each other’s keys within their Trust Anchor Lists (TALs), so that their validity is established without reliance on intermediaries.” </w:t>
      </w:r>
    </w:p>
    <w:p w:rsidR="006C1A8C" w:rsidRDefault="006C1A8C" w:rsidP="006C1A8C">
      <w:r w:rsidRPr="00AC7971">
        <w:t>This describes the case where two entities establish mutual trust by exchanging their keys, which is commonly done out of band of established infrastructures.</w:t>
      </w:r>
      <w:r w:rsidR="007E4913">
        <w:t xml:space="preserve"> Most established solutions hold those keys in Trust Stores, which are used for </w:t>
      </w:r>
      <w:r w:rsidR="00523A1C">
        <w:t xml:space="preserve">transport-layer </w:t>
      </w:r>
      <w:r w:rsidR="007E4913">
        <w:t>(</w:t>
      </w:r>
      <w:r w:rsidR="00523A1C">
        <w:t>[mutual]</w:t>
      </w:r>
      <w:r w:rsidR="007E4913">
        <w:t xml:space="preserve"> SSL/TLS</w:t>
      </w:r>
      <w:r w:rsidR="00523A1C">
        <w:t>)</w:t>
      </w:r>
      <w:r w:rsidR="007E4913">
        <w:t xml:space="preserve"> or message-level </w:t>
      </w:r>
      <w:r w:rsidR="00523A1C">
        <w:t xml:space="preserve">(SOAP Message </w:t>
      </w:r>
      <w:r w:rsidR="007E4913">
        <w:t>Secur</w:t>
      </w:r>
      <w:r w:rsidR="00523A1C">
        <w:t>it</w:t>
      </w:r>
      <w:r w:rsidR="007E4913">
        <w:t>y</w:t>
      </w:r>
      <w:r w:rsidR="00523A1C">
        <w:t>) authentication.</w:t>
      </w:r>
    </w:p>
    <w:p w:rsidR="0045524F" w:rsidRPr="00AC7971" w:rsidRDefault="004451C4" w:rsidP="0045524F">
      <w:r>
        <w:t xml:space="preserve">Even being used broadly in many domains, this model obviously has disadvantages with regard to manageability, scalability and synchronisation among a large number of domain actors and services.  </w:t>
      </w:r>
      <w:r w:rsidR="0045524F">
        <w:t xml:space="preserve">Anyhow, for sake of better control, key exchange could be managed centrally or on domain-level, what would require </w:t>
      </w:r>
      <w:r>
        <w:t xml:space="preserve">an adequate governance model </w:t>
      </w:r>
      <w:r w:rsidR="0079150E">
        <w:t xml:space="preserve">and </w:t>
      </w:r>
      <w:r w:rsidR="0045524F">
        <w:t>some centralized infrastructure</w:t>
      </w:r>
      <w:r>
        <w:t>:</w:t>
      </w:r>
      <w:r w:rsidR="0045524F">
        <w:t xml:space="preserve"> </w:t>
      </w:r>
    </w:p>
    <w:p w:rsidR="0045524F" w:rsidRPr="00AC7971" w:rsidRDefault="0045524F" w:rsidP="0045524F">
      <w:pPr>
        <w:jc w:val="center"/>
      </w:pPr>
      <w:r>
        <w:rPr>
          <w:noProof/>
          <w:lang w:eastAsia="en-GB"/>
        </w:rPr>
        <w:drawing>
          <wp:inline distT="0" distB="0" distL="0" distR="0" wp14:anchorId="5821E5F2" wp14:editId="277F63BC">
            <wp:extent cx="4648200" cy="3041015"/>
            <wp:effectExtent l="0" t="0" r="0" b="6985"/>
            <wp:docPr id="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3041015"/>
                    </a:xfrm>
                    <a:prstGeom prst="rect">
                      <a:avLst/>
                    </a:prstGeom>
                    <a:noFill/>
                    <a:ln>
                      <a:noFill/>
                    </a:ln>
                  </pic:spPr>
                </pic:pic>
              </a:graphicData>
            </a:graphic>
          </wp:inline>
        </w:drawing>
      </w:r>
    </w:p>
    <w:p w:rsidR="0045524F" w:rsidRDefault="0045524F" w:rsidP="0045524F">
      <w:pPr>
        <w:jc w:val="center"/>
        <w:rPr>
          <w:b/>
          <w:bCs/>
          <w:i/>
        </w:rPr>
      </w:pPr>
      <w:r w:rsidRPr="00AC7971">
        <w:rPr>
          <w:b/>
          <w:bCs/>
          <w:i/>
        </w:rPr>
        <w:t xml:space="preserve">Figure </w:t>
      </w:r>
      <w:r w:rsidRPr="00AC7971">
        <w:rPr>
          <w:b/>
          <w:bCs/>
          <w:i/>
        </w:rPr>
        <w:fldChar w:fldCharType="begin"/>
      </w:r>
      <w:r w:rsidRPr="00AC7971">
        <w:rPr>
          <w:b/>
          <w:bCs/>
          <w:i/>
        </w:rPr>
        <w:instrText xml:space="preserve"> SEQ Figure \* ARABIC </w:instrText>
      </w:r>
      <w:r w:rsidRPr="00AC7971">
        <w:rPr>
          <w:b/>
          <w:bCs/>
          <w:i/>
        </w:rPr>
        <w:fldChar w:fldCharType="separate"/>
      </w:r>
      <w:r>
        <w:rPr>
          <w:b/>
          <w:bCs/>
          <w:i/>
          <w:noProof/>
        </w:rPr>
        <w:t>1</w:t>
      </w:r>
      <w:r w:rsidRPr="00AC7971">
        <w:fldChar w:fldCharType="end"/>
      </w:r>
      <w:r w:rsidRPr="00AC7971">
        <w:rPr>
          <w:b/>
          <w:bCs/>
          <w:i/>
        </w:rPr>
        <w:t xml:space="preserve">: </w:t>
      </w:r>
      <w:r w:rsidR="0079150E">
        <w:rPr>
          <w:b/>
          <w:bCs/>
          <w:i/>
        </w:rPr>
        <w:t>Central Management of Key Exchange</w:t>
      </w:r>
    </w:p>
    <w:p w:rsidR="00523A1C" w:rsidRPr="00AC7971" w:rsidRDefault="00F75468" w:rsidP="009C3DA9">
      <w:pPr>
        <w:pStyle w:val="Untertitel"/>
      </w:pPr>
      <w:r>
        <w:lastRenderedPageBreak/>
        <w:t>Evaluation against criteria (Section [</w:t>
      </w:r>
      <w:r>
        <w:fldChar w:fldCharType="begin"/>
      </w:r>
      <w:r>
        <w:instrText xml:space="preserve"> REF _Ref411503947 \r \h </w:instrText>
      </w:r>
      <w:r w:rsidR="009C3DA9">
        <w:instrText xml:space="preserve"> \* MERGEFORMAT </w:instrText>
      </w:r>
      <w:r>
        <w:fldChar w:fldCharType="separate"/>
      </w:r>
      <w:r>
        <w:t>3</w:t>
      </w:r>
      <w:r>
        <w:fldChar w:fldCharType="end"/>
      </w:r>
      <w:r>
        <w:t>]):</w:t>
      </w:r>
    </w:p>
    <w:p w:rsidR="00B65700" w:rsidRDefault="00F75468" w:rsidP="00B65700">
      <w:pPr>
        <w:pStyle w:val="Listenabsatz"/>
        <w:numPr>
          <w:ilvl w:val="0"/>
          <w:numId w:val="26"/>
        </w:numPr>
      </w:pPr>
      <w:r>
        <w:t>For a larger community</w:t>
      </w:r>
      <w:r w:rsidR="004720FC">
        <w:t>, pairwise</w:t>
      </w:r>
      <w:r>
        <w:t xml:space="preserve"> key exchange is hard to handle and synchronize. </w:t>
      </w:r>
      <w:r w:rsidR="004720FC">
        <w:t>May be applicable if</w:t>
      </w:r>
      <w:r>
        <w:t xml:space="preserve"> only applied </w:t>
      </w:r>
      <w:r w:rsidR="004720FC">
        <w:t xml:space="preserve">for </w:t>
      </w:r>
      <w:r>
        <w:t xml:space="preserve">mutual authentication </w:t>
      </w:r>
      <w:r w:rsidR="004720FC">
        <w:t>between</w:t>
      </w:r>
      <w:r>
        <w:t xml:space="preserve"> dedicated services establishing cross-border/-domain connectivity</w:t>
      </w:r>
      <w:r w:rsidR="004720FC">
        <w:t>, which in turn use established mechanism in face to the domestic infrastructure they connect to.</w:t>
      </w:r>
      <w:r w:rsidR="00B65700">
        <w:t xml:space="preserve"> If free choice certificate issuing CA</w:t>
      </w:r>
      <w:r w:rsidR="004F6202">
        <w:rPr>
          <w:rStyle w:val="Funotenzeichen"/>
        </w:rPr>
        <w:footnoteReference w:id="7"/>
      </w:r>
      <w:r w:rsidR="004F6202">
        <w:t>, no or only very restricted means to derive policy/business domain/service type the certificate owner is bound to.</w:t>
      </w:r>
      <w:r w:rsidR="00B65700">
        <w:t xml:space="preserve"> </w:t>
      </w:r>
    </w:p>
    <w:p w:rsidR="004720FC" w:rsidRDefault="004720FC" w:rsidP="00F75468">
      <w:pPr>
        <w:pStyle w:val="Listenabsatz"/>
        <w:numPr>
          <w:ilvl w:val="0"/>
          <w:numId w:val="26"/>
        </w:numPr>
      </w:pPr>
      <w:r>
        <w:t>Well stablished mechanism, broadly used.</w:t>
      </w:r>
    </w:p>
    <w:p w:rsidR="004720FC" w:rsidRDefault="004720FC" w:rsidP="00F75468">
      <w:pPr>
        <w:pStyle w:val="Listenabsatz"/>
        <w:numPr>
          <w:ilvl w:val="0"/>
          <w:numId w:val="26"/>
        </w:numPr>
      </w:pPr>
      <w:r>
        <w:t>Same as (2), but not valid in general.</w:t>
      </w:r>
    </w:p>
    <w:p w:rsidR="004720FC" w:rsidRDefault="004720FC" w:rsidP="00F75468">
      <w:pPr>
        <w:pStyle w:val="Listenabsatz"/>
        <w:numPr>
          <w:ilvl w:val="0"/>
          <w:numId w:val="26"/>
        </w:numPr>
      </w:pPr>
      <w:r>
        <w:t xml:space="preserve">See (1) – restricted scalability. </w:t>
      </w:r>
    </w:p>
    <w:p w:rsidR="004720FC" w:rsidRDefault="004720FC" w:rsidP="00F75468">
      <w:pPr>
        <w:pStyle w:val="Listenabsatz"/>
        <w:numPr>
          <w:ilvl w:val="0"/>
          <w:numId w:val="26"/>
        </w:numPr>
      </w:pPr>
      <w:r>
        <w:t>Well standardized, provided by common infrastructure components</w:t>
      </w:r>
      <w:r w:rsidR="00543EEF">
        <w:t xml:space="preserve"> (not valid for central Trust Store maintenance and – distribution</w:t>
      </w:r>
      <w:r>
        <w:t>.</w:t>
      </w:r>
      <w:r w:rsidR="00543EEF">
        <w:t xml:space="preserve"> This would require (minor) implementation efforts.</w:t>
      </w:r>
    </w:p>
    <w:p w:rsidR="004F6202" w:rsidRDefault="004720FC" w:rsidP="00F75468">
      <w:pPr>
        <w:pStyle w:val="Listenabsatz"/>
        <w:numPr>
          <w:ilvl w:val="0"/>
          <w:numId w:val="26"/>
        </w:numPr>
      </w:pPr>
      <w:r>
        <w:t>Pairwise key</w:t>
      </w:r>
      <w:r w:rsidR="00B65700">
        <w:t xml:space="preserve"> exchange and Trust Store synchronisation has operational challenges, and mayor deficits regarding control of policy-adherence of entities included in the Trust Circle.  Could be leveraged by (Domain-) central Trust Store maintenance and – </w:t>
      </w:r>
      <w:r w:rsidR="00543EEF">
        <w:t>distributio</w:t>
      </w:r>
      <w:r w:rsidR="00B65700">
        <w:t>n.</w:t>
      </w:r>
    </w:p>
    <w:p w:rsidR="00782D90" w:rsidRDefault="004F6202" w:rsidP="00F75468">
      <w:pPr>
        <w:pStyle w:val="Listenabsatz"/>
        <w:numPr>
          <w:ilvl w:val="0"/>
          <w:numId w:val="26"/>
        </w:numPr>
      </w:pPr>
      <w:r>
        <w:t xml:space="preserve">Comes in play when deciding for </w:t>
      </w:r>
      <w:r w:rsidR="00543EEF">
        <w:t xml:space="preserve">central Trust Store maintenance and – distribution. No commercial service </w:t>
      </w:r>
      <w:r w:rsidR="009C3DA9">
        <w:t>known; probably</w:t>
      </w:r>
      <w:r w:rsidR="00543EEF">
        <w:t xml:space="preserve"> would require funding by government or stakeholders.</w:t>
      </w:r>
      <w:r w:rsidR="00B65700">
        <w:t xml:space="preserve"> </w:t>
      </w:r>
    </w:p>
    <w:p w:rsidR="0045524F" w:rsidRDefault="00782D90" w:rsidP="00F75468">
      <w:pPr>
        <w:pStyle w:val="Listenabsatz"/>
        <w:numPr>
          <w:ilvl w:val="0"/>
          <w:numId w:val="26"/>
        </w:numPr>
      </w:pPr>
      <w:r>
        <w:t>Liability must be regulated by pairwise business agreement</w:t>
      </w:r>
      <w:r w:rsidR="007F52D3">
        <w:t>s respective those to be set up with a central Trust Store maintainer</w:t>
      </w:r>
      <w:r>
        <w:t xml:space="preserve">. </w:t>
      </w:r>
      <w:r w:rsidR="00F75468">
        <w:t xml:space="preserve"> </w:t>
      </w:r>
    </w:p>
    <w:p w:rsidR="00322A5B" w:rsidRPr="00AC7971" w:rsidRDefault="00322A5B" w:rsidP="00322A5B">
      <w:pPr>
        <w:pStyle w:val="berschrift2"/>
      </w:pPr>
      <w:bookmarkStart w:id="11" w:name="_Toc411578957"/>
      <w:r w:rsidRPr="00AC7971">
        <w:t>Indirect Trust</w:t>
      </w:r>
      <w:r>
        <w:t xml:space="preserve"> Models</w:t>
      </w:r>
      <w:bookmarkEnd w:id="11"/>
    </w:p>
    <w:p w:rsidR="00322A5B" w:rsidRDefault="00322A5B" w:rsidP="006C1A8C">
      <w:pPr>
        <w:rPr>
          <w:vertAlign w:val="superscript"/>
        </w:rPr>
      </w:pPr>
      <w:r w:rsidRPr="00AC7971">
        <w:t xml:space="preserve">“Indirect Trust is obtained when communicating entities ascertain the validity of </w:t>
      </w:r>
      <w:r w:rsidR="004A417C" w:rsidRPr="00AC7971">
        <w:t>each other’s</w:t>
      </w:r>
      <w:r w:rsidRPr="00AC7971">
        <w:t xml:space="preserve"> keys based on pre-existing trust established with an intermediary, as represented by a trust anchor.”</w:t>
      </w:r>
      <w:r w:rsidRPr="00A958F8">
        <w:rPr>
          <w:vertAlign w:val="superscript"/>
        </w:rPr>
        <w:fldChar w:fldCharType="begin"/>
      </w:r>
      <w:r w:rsidRPr="00A958F8">
        <w:rPr>
          <w:vertAlign w:val="superscript"/>
        </w:rPr>
        <w:instrText xml:space="preserve"> NOTEREF _Ref411417684 \h </w:instrText>
      </w:r>
      <w:r>
        <w:rPr>
          <w:vertAlign w:val="superscript"/>
        </w:rPr>
        <w:instrText xml:space="preserve"> \* MERGEFORMAT </w:instrText>
      </w:r>
      <w:r w:rsidRPr="00A958F8">
        <w:rPr>
          <w:vertAlign w:val="superscript"/>
        </w:rPr>
      </w:r>
      <w:r w:rsidRPr="00A958F8">
        <w:rPr>
          <w:vertAlign w:val="superscript"/>
        </w:rPr>
        <w:fldChar w:fldCharType="separate"/>
      </w:r>
      <w:r w:rsidRPr="00A958F8">
        <w:rPr>
          <w:vertAlign w:val="superscript"/>
        </w:rPr>
        <w:t>4</w:t>
      </w:r>
      <w:r w:rsidRPr="00A958F8">
        <w:rPr>
          <w:vertAlign w:val="superscript"/>
        </w:rPr>
        <w:fldChar w:fldCharType="end"/>
      </w:r>
      <w:r w:rsidRPr="00A958F8">
        <w:rPr>
          <w:vertAlign w:val="superscript"/>
        </w:rPr>
        <w:t xml:space="preserve"> </w:t>
      </w:r>
    </w:p>
    <w:p w:rsidR="00E2399E" w:rsidRDefault="00322A5B" w:rsidP="006C1A8C">
      <w:r>
        <w:t xml:space="preserve">For the PKI case, this trusted intermediary is the certificate issuing </w:t>
      </w:r>
      <w:r w:rsidRPr="00AC7971">
        <w:t>Certification Authority (CA)</w:t>
      </w:r>
      <w:r>
        <w:t xml:space="preserve">. </w:t>
      </w:r>
    </w:p>
    <w:p w:rsidR="00E2399E" w:rsidRDefault="00E2399E" w:rsidP="00E2399E">
      <w:r>
        <w:t xml:space="preserve">Inside </w:t>
      </w:r>
      <w:r w:rsidR="00C706B6">
        <w:t xml:space="preserve">established </w:t>
      </w:r>
      <w:r>
        <w:t xml:space="preserve">business domains </w:t>
      </w:r>
      <w:r w:rsidR="00C706B6">
        <w:t xml:space="preserve">or even on MS level </w:t>
      </w:r>
      <w:r>
        <w:t xml:space="preserve">the number of CAs </w:t>
      </w:r>
      <w:r w:rsidR="00C706B6">
        <w:t>normally may be</w:t>
      </w:r>
      <w:r>
        <w:t xml:space="preserve"> small enough </w:t>
      </w:r>
      <w:r w:rsidR="00C706B6">
        <w:t xml:space="preserve">and well-known known to the relying party. </w:t>
      </w:r>
      <w:r>
        <w:t xml:space="preserve">For cross-border use of </w:t>
      </w:r>
      <w:r w:rsidR="00C706B6">
        <w:t>certificates</w:t>
      </w:r>
      <w:r>
        <w:t xml:space="preserve"> t</w:t>
      </w:r>
      <w:r w:rsidRPr="009D3149">
        <w:t xml:space="preserve">he situation is however that the relying party must handle a </w:t>
      </w:r>
      <w:r>
        <w:t xml:space="preserve">potentially large </w:t>
      </w:r>
      <w:r w:rsidRPr="009D3149">
        <w:t xml:space="preserve">number of </w:t>
      </w:r>
      <w:r>
        <w:t>separate</w:t>
      </w:r>
      <w:r w:rsidRPr="009D3149">
        <w:t xml:space="preserve"> </w:t>
      </w:r>
      <w:r>
        <w:t xml:space="preserve">and unknown </w:t>
      </w:r>
      <w:r w:rsidRPr="009D3149">
        <w:t xml:space="preserve">CAs; how big this number is depends on the relying party’s business needs. </w:t>
      </w:r>
      <w:r>
        <w:t>C</w:t>
      </w:r>
      <w:r w:rsidRPr="009D3149">
        <w:t>onsidering only the subset “qualified CA</w:t>
      </w:r>
      <w:r>
        <w:t>s</w:t>
      </w:r>
      <w:r w:rsidRPr="009D3149">
        <w:t xml:space="preserve"> in the EU/EEA area”, the number is between 100 and 150 CAs.</w:t>
      </w:r>
      <w:r>
        <w:t xml:space="preserve"> Expanding the scope outside of the EU and to non-qualified CAs inside or outside of the EU, the number of </w:t>
      </w:r>
      <w:r w:rsidRPr="00E000BF">
        <w:rPr>
          <w:u w:val="single"/>
        </w:rPr>
        <w:t>public</w:t>
      </w:r>
      <w:r>
        <w:t xml:space="preserve"> CAs will be at least several hundred. Then, in some cases even company internal and other non-public CAs may need to be considered, increasing the number further.</w:t>
      </w:r>
    </w:p>
    <w:p w:rsidR="00E2399E" w:rsidRDefault="00E2399E" w:rsidP="00E2399E">
      <w:r>
        <w:t>To the relying party, the situation is as shown in the figure below. Managing information on such a large number of CAs quickly becomes difficult for the relying party, in particular because the relying party need to know not only the public keys of these CAs but also information related to validation constraints such as the quality and legal status of each CA.</w:t>
      </w:r>
    </w:p>
    <w:p w:rsidR="00E2399E" w:rsidRDefault="00E2399E" w:rsidP="00E2399E">
      <w:pPr>
        <w:keepNext/>
      </w:pPr>
      <w:r w:rsidRPr="00BF129B">
        <w:rPr>
          <w:noProof/>
          <w:lang w:eastAsia="en-GB"/>
        </w:rPr>
        <w:lastRenderedPageBreak/>
        <w:drawing>
          <wp:inline distT="0" distB="0" distL="0" distR="0" wp14:anchorId="5E2D614B" wp14:editId="0DFA531D">
            <wp:extent cx="4673600" cy="35052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4005" cy="3505504"/>
                    </a:xfrm>
                    <a:prstGeom prst="rect">
                      <a:avLst/>
                    </a:prstGeom>
                  </pic:spPr>
                </pic:pic>
              </a:graphicData>
            </a:graphic>
          </wp:inline>
        </w:drawing>
      </w:r>
    </w:p>
    <w:p w:rsidR="00C706B6" w:rsidRPr="003B0052" w:rsidRDefault="00C706B6" w:rsidP="00C706B6">
      <w:pPr>
        <w:pStyle w:val="Beschriftung"/>
        <w:rPr>
          <w:sz w:val="22"/>
          <w:szCs w:val="22"/>
        </w:rPr>
      </w:pPr>
      <w:bookmarkStart w:id="12" w:name="_Toc388877028"/>
      <w:r w:rsidRPr="003B0052">
        <w:rPr>
          <w:sz w:val="22"/>
          <w:szCs w:val="22"/>
        </w:rPr>
        <w:t xml:space="preserve">Figure </w:t>
      </w:r>
      <w:r w:rsidRPr="003B0052">
        <w:rPr>
          <w:sz w:val="22"/>
          <w:szCs w:val="22"/>
        </w:rPr>
        <w:fldChar w:fldCharType="begin"/>
      </w:r>
      <w:r w:rsidRPr="003B0052">
        <w:rPr>
          <w:sz w:val="22"/>
          <w:szCs w:val="22"/>
        </w:rPr>
        <w:instrText xml:space="preserve"> SEQ Figure \* ARABIC </w:instrText>
      </w:r>
      <w:r w:rsidRPr="003B0052">
        <w:rPr>
          <w:sz w:val="22"/>
          <w:szCs w:val="22"/>
        </w:rPr>
        <w:fldChar w:fldCharType="separate"/>
      </w:r>
      <w:r w:rsidRPr="003B0052">
        <w:rPr>
          <w:sz w:val="22"/>
          <w:szCs w:val="22"/>
        </w:rPr>
        <w:t>1</w:t>
      </w:r>
      <w:r w:rsidRPr="003B0052">
        <w:rPr>
          <w:sz w:val="22"/>
          <w:szCs w:val="22"/>
        </w:rPr>
        <w:fldChar w:fldCharType="end"/>
      </w:r>
      <w:r w:rsidRPr="003B0052">
        <w:rPr>
          <w:sz w:val="22"/>
          <w:szCs w:val="22"/>
        </w:rPr>
        <w:t>: Relying party has to trust many CAs</w:t>
      </w:r>
    </w:p>
    <w:bookmarkEnd w:id="12"/>
    <w:p w:rsidR="00E2399E" w:rsidRDefault="00E2399E" w:rsidP="00E2399E">
      <w:r>
        <w:t>In this figure, the supervisory authority has also been brought in to show that public CAs will often, and in particular in the EU, be subject to supervision.</w:t>
      </w:r>
    </w:p>
    <w:p w:rsidR="00E2399E" w:rsidRDefault="00E2399E" w:rsidP="00E2399E">
      <w:r>
        <w:t>Further complicating the picture, each relying party must manage the information individually leading to the situation shown in the figure below.</w:t>
      </w:r>
    </w:p>
    <w:p w:rsidR="00E2399E" w:rsidRDefault="00E2399E" w:rsidP="00C706B6">
      <w:pPr>
        <w:keepNext/>
        <w:jc w:val="center"/>
      </w:pPr>
      <w:r w:rsidRPr="007364C5">
        <w:rPr>
          <w:noProof/>
          <w:lang w:eastAsia="en-GB"/>
        </w:rPr>
        <w:drawing>
          <wp:inline distT="0" distB="0" distL="0" distR="0" wp14:anchorId="57534358" wp14:editId="304B6F92">
            <wp:extent cx="4122420" cy="309181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22778" cy="3092083"/>
                    </a:xfrm>
                    <a:prstGeom prst="rect">
                      <a:avLst/>
                    </a:prstGeom>
                  </pic:spPr>
                </pic:pic>
              </a:graphicData>
            </a:graphic>
          </wp:inline>
        </w:drawing>
      </w:r>
    </w:p>
    <w:p w:rsidR="00E2399E" w:rsidRPr="003B0052" w:rsidRDefault="00C706B6" w:rsidP="00C706B6">
      <w:pPr>
        <w:pStyle w:val="Beschriftung"/>
        <w:rPr>
          <w:sz w:val="22"/>
          <w:szCs w:val="22"/>
        </w:rPr>
      </w:pPr>
      <w:bookmarkStart w:id="13" w:name="_Toc388877029"/>
      <w:r w:rsidRPr="003B0052">
        <w:rPr>
          <w:sz w:val="22"/>
          <w:szCs w:val="22"/>
        </w:rPr>
        <w:t xml:space="preserve">Figure </w:t>
      </w:r>
      <w:r w:rsidRPr="003B0052">
        <w:rPr>
          <w:sz w:val="22"/>
          <w:szCs w:val="22"/>
        </w:rPr>
        <w:fldChar w:fldCharType="begin"/>
      </w:r>
      <w:r w:rsidRPr="003B0052">
        <w:rPr>
          <w:sz w:val="22"/>
          <w:szCs w:val="22"/>
        </w:rPr>
        <w:instrText xml:space="preserve"> SEQ Figure \* ARABIC </w:instrText>
      </w:r>
      <w:r w:rsidRPr="003B0052">
        <w:rPr>
          <w:sz w:val="22"/>
          <w:szCs w:val="22"/>
        </w:rPr>
        <w:fldChar w:fldCharType="separate"/>
      </w:r>
      <w:r w:rsidRPr="003B0052">
        <w:rPr>
          <w:noProof/>
          <w:sz w:val="22"/>
          <w:szCs w:val="22"/>
        </w:rPr>
        <w:t>2</w:t>
      </w:r>
      <w:r w:rsidRPr="003B0052">
        <w:rPr>
          <w:sz w:val="22"/>
          <w:szCs w:val="22"/>
        </w:rPr>
        <w:fldChar w:fldCharType="end"/>
      </w:r>
      <w:r w:rsidRPr="003B0052">
        <w:rPr>
          <w:sz w:val="22"/>
          <w:szCs w:val="22"/>
        </w:rPr>
        <w:t>:</w:t>
      </w:r>
      <w:r w:rsidR="00E2399E" w:rsidRPr="003B0052">
        <w:rPr>
          <w:sz w:val="22"/>
          <w:szCs w:val="22"/>
        </w:rPr>
        <w:t xml:space="preserve"> A large number of relying parties trusting a large number of CAs.</w:t>
      </w:r>
      <w:bookmarkEnd w:id="13"/>
    </w:p>
    <w:p w:rsidR="00E2399E" w:rsidRDefault="00E2399E" w:rsidP="006C1A8C"/>
    <w:p w:rsidR="00322A5B" w:rsidRPr="00AC7971" w:rsidRDefault="00E2399E" w:rsidP="006C1A8C">
      <w:r>
        <w:lastRenderedPageBreak/>
        <w:t xml:space="preserve">To </w:t>
      </w:r>
      <w:r w:rsidR="003B0052">
        <w:t>facilitate</w:t>
      </w:r>
      <w:r>
        <w:t xml:space="preserve"> trust in CAs, d</w:t>
      </w:r>
      <w:r w:rsidR="00322A5B">
        <w:t xml:space="preserve">ifferent </w:t>
      </w:r>
      <w:r w:rsidR="003B0052">
        <w:t>solutions are</w:t>
      </w:r>
      <w:r w:rsidR="00322A5B">
        <w:t xml:space="preserve"> </w:t>
      </w:r>
      <w:r>
        <w:t xml:space="preserve">used </w:t>
      </w:r>
      <w:r w:rsidR="003B0052">
        <w:t>as</w:t>
      </w:r>
      <w:r w:rsidR="00C706B6">
        <w:t xml:space="preserve"> </w:t>
      </w:r>
      <w:r>
        <w:t xml:space="preserve">described below. </w:t>
      </w:r>
      <w:r w:rsidR="00322A5B">
        <w:t xml:space="preserve"> </w:t>
      </w:r>
    </w:p>
    <w:p w:rsidR="00C706B6" w:rsidRPr="00AC7971" w:rsidRDefault="00C706B6" w:rsidP="00AC7971">
      <w:pPr>
        <w:pStyle w:val="berschrift3"/>
      </w:pPr>
      <w:bookmarkStart w:id="14" w:name="_Toc411578958"/>
      <w:r w:rsidRPr="00AC7971">
        <w:t>Community Trust</w:t>
      </w:r>
      <w:bookmarkEnd w:id="14"/>
    </w:p>
    <w:p w:rsidR="00C706B6" w:rsidRPr="00AC7971" w:rsidRDefault="006C1A8C" w:rsidP="006C1A8C">
      <w:r w:rsidRPr="00AC7971">
        <w:t>“</w:t>
      </w:r>
      <w:r w:rsidR="00C706B6" w:rsidRPr="00AC7971">
        <w:t xml:space="preserve">Community Trust applies when the business trust between a pair of entities is derived from their </w:t>
      </w:r>
      <w:r w:rsidRPr="00AC7971">
        <w:t>enrolment</w:t>
      </w:r>
      <w:r w:rsidR="00C706B6" w:rsidRPr="00AC7971">
        <w:t xml:space="preserve"> in</w:t>
      </w:r>
      <w:r w:rsidRPr="00AC7971">
        <w:t xml:space="preserve"> </w:t>
      </w:r>
      <w:r w:rsidR="00C706B6" w:rsidRPr="00AC7971">
        <w:t>a common authentication infrastructure and acceptance of its practices, without reliance on other business</w:t>
      </w:r>
      <w:r w:rsidRPr="00AC7971">
        <w:t xml:space="preserve"> </w:t>
      </w:r>
      <w:r w:rsidR="00C706B6" w:rsidRPr="00AC7971">
        <w:t>agreement paths. As such, the entities' mutual trust in a business sense is based on their membership in a</w:t>
      </w:r>
      <w:r w:rsidRPr="00AC7971">
        <w:t xml:space="preserve"> </w:t>
      </w:r>
      <w:r w:rsidR="00C706B6" w:rsidRPr="00AC7971">
        <w:t>community constructed and linked for authentication purposes.</w:t>
      </w:r>
      <w:r w:rsidRPr="00AC7971">
        <w:t>”</w:t>
      </w:r>
      <w:r w:rsidRPr="00AC7971">
        <w:rPr>
          <w:vertAlign w:val="superscript"/>
        </w:rPr>
        <w:t xml:space="preserve"> </w:t>
      </w:r>
      <w:r w:rsidRPr="00AC7971">
        <w:rPr>
          <w:vertAlign w:val="superscript"/>
        </w:rPr>
        <w:fldChar w:fldCharType="begin"/>
      </w:r>
      <w:r w:rsidRPr="00AC7971">
        <w:rPr>
          <w:vertAlign w:val="superscript"/>
        </w:rPr>
        <w:instrText xml:space="preserve"> NOTEREF _Ref411417684 \h  \* MERGEFORMAT </w:instrText>
      </w:r>
      <w:r w:rsidRPr="00AC7971">
        <w:rPr>
          <w:vertAlign w:val="superscript"/>
        </w:rPr>
      </w:r>
      <w:r w:rsidRPr="00AC7971">
        <w:rPr>
          <w:vertAlign w:val="superscript"/>
        </w:rPr>
        <w:fldChar w:fldCharType="separate"/>
      </w:r>
      <w:r w:rsidRPr="00AC7971">
        <w:rPr>
          <w:vertAlign w:val="superscript"/>
        </w:rPr>
        <w:t>4</w:t>
      </w:r>
      <w:r w:rsidRPr="00AC7971">
        <w:fldChar w:fldCharType="end"/>
      </w:r>
    </w:p>
    <w:p w:rsidR="00C706B6" w:rsidRPr="00A958F8" w:rsidRDefault="00A958F8" w:rsidP="00A958F8">
      <w:pPr>
        <w:pStyle w:val="berschrift4"/>
        <w:rPr>
          <w:lang w:val="en-GB"/>
        </w:rPr>
      </w:pPr>
      <w:r w:rsidRPr="00A958F8">
        <w:rPr>
          <w:lang w:val="en-GB"/>
        </w:rPr>
        <w:t>Community Trust using a d</w:t>
      </w:r>
      <w:r w:rsidR="00C706B6" w:rsidRPr="00A958F8">
        <w:rPr>
          <w:lang w:val="en-GB"/>
        </w:rPr>
        <w:t>edicated PKI</w:t>
      </w:r>
    </w:p>
    <w:p w:rsidR="006C1A8C" w:rsidRPr="00AC7971" w:rsidRDefault="00AC7971" w:rsidP="006C1A8C">
      <w:r>
        <w:t>Communities</w:t>
      </w:r>
      <w:r w:rsidR="00C706B6" w:rsidRPr="00AC7971">
        <w:t xml:space="preserve"> may decide for a dedicated PKI to issue certificates for all participants and nodes in their network. In the dedicated PKI model there is a single Certification Authority (CA) that guarantees consistency among issued certificates, and a process of issuing certificates only to community members which agree on a specific domain policy and governance model. For the relying party, the latter can implicitly be derived from the certificate issuer. This is the classical PKI “Three-corner Model” as explicitly used today by closed PKI-systems. </w:t>
      </w:r>
    </w:p>
    <w:p w:rsidR="006C1A8C" w:rsidRPr="00AC7971" w:rsidRDefault="00A958F8" w:rsidP="00AC7971">
      <w:pPr>
        <w:jc w:val="center"/>
      </w:pPr>
      <w:r>
        <w:rPr>
          <w:noProof/>
          <w:lang w:eastAsia="en-GB"/>
        </w:rPr>
        <w:drawing>
          <wp:inline distT="0" distB="0" distL="0" distR="0" wp14:anchorId="5903FD65" wp14:editId="091CDEDE">
            <wp:extent cx="2459355" cy="1918970"/>
            <wp:effectExtent l="0" t="0" r="0" b="5080"/>
            <wp:docPr id="4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9355" cy="1918970"/>
                    </a:xfrm>
                    <a:prstGeom prst="rect">
                      <a:avLst/>
                    </a:prstGeom>
                    <a:noFill/>
                    <a:ln>
                      <a:noFill/>
                    </a:ln>
                  </pic:spPr>
                </pic:pic>
              </a:graphicData>
            </a:graphic>
          </wp:inline>
        </w:drawing>
      </w:r>
    </w:p>
    <w:p w:rsidR="006C1A8C" w:rsidRPr="00AC7971" w:rsidRDefault="006C1A8C" w:rsidP="00AC7971">
      <w:pPr>
        <w:jc w:val="center"/>
        <w:rPr>
          <w:b/>
          <w:bCs/>
          <w:i/>
        </w:rPr>
      </w:pPr>
      <w:r w:rsidRPr="00AC7971">
        <w:rPr>
          <w:b/>
          <w:bCs/>
          <w:i/>
        </w:rPr>
        <w:t xml:space="preserve">Figure </w:t>
      </w:r>
      <w:r w:rsidRPr="00AC7971">
        <w:rPr>
          <w:b/>
          <w:bCs/>
          <w:i/>
        </w:rPr>
        <w:fldChar w:fldCharType="begin"/>
      </w:r>
      <w:r w:rsidRPr="00AC7971">
        <w:rPr>
          <w:b/>
          <w:bCs/>
          <w:i/>
        </w:rPr>
        <w:instrText xml:space="preserve"> SEQ Figure \* ARABIC </w:instrText>
      </w:r>
      <w:r w:rsidRPr="00AC7971">
        <w:rPr>
          <w:b/>
          <w:bCs/>
          <w:i/>
        </w:rPr>
        <w:fldChar w:fldCharType="separate"/>
      </w:r>
      <w:r w:rsidR="003B0052">
        <w:rPr>
          <w:b/>
          <w:bCs/>
          <w:i/>
          <w:noProof/>
        </w:rPr>
        <w:t>3</w:t>
      </w:r>
      <w:r w:rsidRPr="00AC7971">
        <w:fldChar w:fldCharType="end"/>
      </w:r>
      <w:r w:rsidRPr="00AC7971">
        <w:rPr>
          <w:b/>
          <w:bCs/>
          <w:i/>
        </w:rPr>
        <w:t>: Original three-corner PKI model</w:t>
      </w:r>
    </w:p>
    <w:p w:rsidR="006C1A8C" w:rsidRPr="00AC7971" w:rsidRDefault="006C1A8C" w:rsidP="006C1A8C">
      <w:r w:rsidRPr="00AC7971">
        <w:t>This agreements-based PKI is a system where all relying parties must have an agreement for use of certificates. The underlying governance model and policy the certificate owner is bound to can implicitly be derived from the certificate issuer. Corporate internal and other special purposes PKIs typically also use this model.</w:t>
      </w:r>
    </w:p>
    <w:p w:rsidR="00C706B6" w:rsidRDefault="006C1A8C" w:rsidP="006C1A8C">
      <w:r w:rsidRPr="00AC7971">
        <w:t>The Relying Party just must be able to verify the actual validity, authenticity and integrity of the certificate and interpret the certificate’s content. The actual validity of the certificate must be verified by the Relying Party by means of OCSP/CRL or other trusted certificate validation services</w:t>
      </w:r>
      <w:r w:rsidRPr="00AC7971">
        <w:rPr>
          <w:vertAlign w:val="superscript"/>
        </w:rPr>
        <w:footnoteReference w:id="8"/>
      </w:r>
      <w:r w:rsidRPr="00AC7971">
        <w:t>.</w:t>
      </w:r>
    </w:p>
    <w:p w:rsidR="009C3DA9" w:rsidRPr="00AC7971" w:rsidRDefault="009C3DA9" w:rsidP="009C3DA9">
      <w:pPr>
        <w:pStyle w:val="Untertitel"/>
      </w:pPr>
      <w:r>
        <w:t>Evaluation against criteria (Section [</w:t>
      </w:r>
      <w:r>
        <w:fldChar w:fldCharType="begin"/>
      </w:r>
      <w:r>
        <w:instrText xml:space="preserve"> REF _Ref411503947 \r \h  \* MERGEFORMAT </w:instrText>
      </w:r>
      <w:r>
        <w:fldChar w:fldCharType="separate"/>
      </w:r>
      <w:r>
        <w:t>3</w:t>
      </w:r>
      <w:r>
        <w:fldChar w:fldCharType="end"/>
      </w:r>
      <w:r>
        <w:t>]):</w:t>
      </w:r>
    </w:p>
    <w:p w:rsidR="009C3DA9" w:rsidRDefault="009C3DA9" w:rsidP="009C3DA9">
      <w:pPr>
        <w:pStyle w:val="Listenabsatz"/>
        <w:numPr>
          <w:ilvl w:val="0"/>
          <w:numId w:val="27"/>
        </w:numPr>
      </w:pPr>
      <w:r>
        <w:t>One Central PKI for all actors in the network not</w:t>
      </w:r>
      <w:r w:rsidR="00EC5CF0">
        <w:t xml:space="preserve"> applicable. </w:t>
      </w:r>
      <w:r>
        <w:t xml:space="preserve"> May be applicable </w:t>
      </w:r>
      <w:r w:rsidR="00EC5CF0">
        <w:t>for central shared services and</w:t>
      </w:r>
      <w:r>
        <w:t xml:space="preserve"> for mutual authentication between dedicated services establishing cross-border/-domain connectivity, which in turn use established mechanism in face to the domestic infrastructure they connect to. </w:t>
      </w:r>
      <w:r w:rsidR="00EC5CF0">
        <w:t>Applicability has to be checked for MS (may by specific domains, too) which impose the use of dedicated national or domain PKIs. P</w:t>
      </w:r>
      <w:r>
        <w:t xml:space="preserve">olicy/business domain/service type </w:t>
      </w:r>
      <w:r w:rsidR="00EC5CF0">
        <w:t>all</w:t>
      </w:r>
      <w:r>
        <w:t xml:space="preserve"> certificate owner</w:t>
      </w:r>
      <w:r w:rsidR="00EC5CF0">
        <w:t>s</w:t>
      </w:r>
      <w:r>
        <w:t xml:space="preserve"> </w:t>
      </w:r>
      <w:r w:rsidR="00840514">
        <w:t>are</w:t>
      </w:r>
      <w:r>
        <w:t xml:space="preserve"> bound to</w:t>
      </w:r>
      <w:r w:rsidR="00EC5CF0">
        <w:t xml:space="preserve"> is the one agreed upon in this dedicated PKI, no differentiation possible</w:t>
      </w:r>
      <w:r>
        <w:t xml:space="preserve">. </w:t>
      </w:r>
    </w:p>
    <w:p w:rsidR="009C3DA9" w:rsidRDefault="00840514" w:rsidP="009C3DA9">
      <w:pPr>
        <w:pStyle w:val="Listenabsatz"/>
        <w:numPr>
          <w:ilvl w:val="0"/>
          <w:numId w:val="27"/>
        </w:numPr>
      </w:pPr>
      <w:r>
        <w:lastRenderedPageBreak/>
        <w:t xml:space="preserve">No “off the shelf” mechanism broadly supported by standard solutions, but often established in closed business domains / company networks </w:t>
      </w:r>
      <w:proofErr w:type="spellStart"/>
      <w:proofErr w:type="gramStart"/>
      <w:r>
        <w:t>etc</w:t>
      </w:r>
      <w:proofErr w:type="spellEnd"/>
      <w:r>
        <w:t xml:space="preserve"> </w:t>
      </w:r>
      <w:r w:rsidR="009C3DA9">
        <w:t>.</w:t>
      </w:r>
      <w:proofErr w:type="gramEnd"/>
    </w:p>
    <w:p w:rsidR="009C3DA9" w:rsidRDefault="00840514" w:rsidP="009C3DA9">
      <w:pPr>
        <w:pStyle w:val="Listenabsatz"/>
        <w:numPr>
          <w:ilvl w:val="0"/>
          <w:numId w:val="27"/>
        </w:numPr>
      </w:pPr>
      <w:r>
        <w:t>Some MS (e.g. Germany) provide a “Public Administration PKI”, but most of them being hierarchical ones</w:t>
      </w:r>
      <w:r w:rsidR="009C3DA9">
        <w:t>.</w:t>
      </w:r>
    </w:p>
    <w:p w:rsidR="009C3DA9" w:rsidRDefault="009C3DA9" w:rsidP="009C3DA9">
      <w:pPr>
        <w:pStyle w:val="Listenabsatz"/>
        <w:numPr>
          <w:ilvl w:val="0"/>
          <w:numId w:val="27"/>
        </w:numPr>
      </w:pPr>
      <w:r>
        <w:t xml:space="preserve">See (1) – restricted scalability. </w:t>
      </w:r>
    </w:p>
    <w:p w:rsidR="009C3DA9" w:rsidRDefault="009C3DA9" w:rsidP="009C3DA9">
      <w:pPr>
        <w:pStyle w:val="Listenabsatz"/>
        <w:numPr>
          <w:ilvl w:val="0"/>
          <w:numId w:val="27"/>
        </w:numPr>
      </w:pPr>
      <w:r>
        <w:t xml:space="preserve">Well standardized, provided by </w:t>
      </w:r>
      <w:r w:rsidR="00782D90">
        <w:t xml:space="preserve">some </w:t>
      </w:r>
      <w:r>
        <w:t>common infrastructure components</w:t>
      </w:r>
      <w:r w:rsidR="00840514">
        <w:t xml:space="preserve"> (see Root-Stores below, which may be a </w:t>
      </w:r>
      <w:r w:rsidR="00782D90">
        <w:t>one restricting to this single PKI). W</w:t>
      </w:r>
      <w:r>
        <w:t xml:space="preserve">ould </w:t>
      </w:r>
      <w:r w:rsidR="00782D90">
        <w:t xml:space="preserve">anyhow </w:t>
      </w:r>
      <w:r>
        <w:t xml:space="preserve">require </w:t>
      </w:r>
      <w:r w:rsidR="00782D90">
        <w:t>some</w:t>
      </w:r>
      <w:r>
        <w:t xml:space="preserve"> implementation efforts</w:t>
      </w:r>
      <w:r w:rsidR="00782D90">
        <w:t xml:space="preserve"> for e-SENS SBBs to restrict to define</w:t>
      </w:r>
      <w:r w:rsidR="007F52D3">
        <w:t>d</w:t>
      </w:r>
      <w:r w:rsidR="00782D90">
        <w:t xml:space="preserve"> certificate issuer</w:t>
      </w:r>
      <w:r w:rsidR="007F52D3">
        <w:t>(</w:t>
      </w:r>
      <w:r w:rsidR="00782D90">
        <w:t>s</w:t>
      </w:r>
      <w:r w:rsidR="007F52D3">
        <w:t>)</w:t>
      </w:r>
      <w:r>
        <w:t>.</w:t>
      </w:r>
    </w:p>
    <w:p w:rsidR="009C3DA9" w:rsidRDefault="007F52D3" w:rsidP="009C3DA9">
      <w:pPr>
        <w:pStyle w:val="Listenabsatz"/>
        <w:numPr>
          <w:ilvl w:val="0"/>
          <w:numId w:val="27"/>
        </w:numPr>
      </w:pPr>
      <w:r>
        <w:t>PKI services are well established and on the market, o</w:t>
      </w:r>
      <w:r w:rsidR="00C453DA">
        <w:t>r even provided by Public Administration</w:t>
      </w:r>
      <w:r w:rsidR="009C3DA9">
        <w:t>.</w:t>
      </w:r>
      <w:r w:rsidR="00C453DA">
        <w:t xml:space="preserve"> Setup/provi</w:t>
      </w:r>
      <w:r w:rsidR="003807B1">
        <w:t>sio</w:t>
      </w:r>
      <w:r w:rsidR="00A62794">
        <w:t>ns</w:t>
      </w:r>
      <w:r w:rsidR="00C453DA">
        <w:t xml:space="preserve"> of central EC PKI so far </w:t>
      </w:r>
      <w:proofErr w:type="gramStart"/>
      <w:r w:rsidR="00C453DA">
        <w:t>seems</w:t>
      </w:r>
      <w:proofErr w:type="gramEnd"/>
      <w:r w:rsidR="00C453DA">
        <w:t xml:space="preserve"> not to be an option. </w:t>
      </w:r>
    </w:p>
    <w:p w:rsidR="007F52D3" w:rsidRDefault="007F52D3" w:rsidP="009C3DA9">
      <w:pPr>
        <w:pStyle w:val="Listenabsatz"/>
        <w:numPr>
          <w:ilvl w:val="0"/>
          <w:numId w:val="27"/>
        </w:numPr>
      </w:pPr>
      <w:r>
        <w:t>Business model is usually fees from the CAs; additional government funding is possible.</w:t>
      </w:r>
    </w:p>
    <w:p w:rsidR="009C3DA9" w:rsidRDefault="007F52D3" w:rsidP="009C3DA9">
      <w:pPr>
        <w:pStyle w:val="Listenabsatz"/>
        <w:numPr>
          <w:ilvl w:val="0"/>
          <w:numId w:val="27"/>
        </w:numPr>
      </w:pPr>
      <w:r>
        <w:t>Liability is an issue between the relying party and CA.</w:t>
      </w:r>
      <w:r w:rsidR="009C3DA9">
        <w:t xml:space="preserve">  </w:t>
      </w:r>
    </w:p>
    <w:p w:rsidR="00C706B6" w:rsidRPr="00A958F8" w:rsidRDefault="00A958F8" w:rsidP="00A958F8">
      <w:pPr>
        <w:pStyle w:val="berschrift4"/>
        <w:rPr>
          <w:lang w:val="en-GB"/>
        </w:rPr>
      </w:pPr>
      <w:r w:rsidRPr="00A958F8">
        <w:rPr>
          <w:lang w:val="en-GB"/>
        </w:rPr>
        <w:t>Community Trust</w:t>
      </w:r>
      <w:r w:rsidR="00C706B6" w:rsidRPr="00A958F8">
        <w:rPr>
          <w:lang w:val="en-GB"/>
        </w:rPr>
        <w:t xml:space="preserve"> using a hierarchical PKI</w:t>
      </w:r>
    </w:p>
    <w:p w:rsidR="006C1A8C" w:rsidRPr="00AC7971" w:rsidRDefault="006C1A8C" w:rsidP="006C1A8C">
      <w:r w:rsidRPr="00AC7971">
        <w:t xml:space="preserve">In extension of the dedicated single PKI model, a community may choose set up hierarchical PKI model. In this model, the community root CA issues certificates to different </w:t>
      </w:r>
      <w:r w:rsidR="00342481">
        <w:t>sub-CA</w:t>
      </w:r>
      <w:r w:rsidRPr="00AC7971">
        <w:t xml:space="preserve">s, which in turn issue certificates to end entities acting in different, well defined roles in this community </w:t>
      </w:r>
      <w:proofErr w:type="gramStart"/>
      <w:r w:rsidRPr="00AC7971">
        <w:t>network.</w:t>
      </w:r>
      <w:proofErr w:type="gramEnd"/>
    </w:p>
    <w:p w:rsidR="003B0052" w:rsidRDefault="003B0052" w:rsidP="003B0052">
      <w:r>
        <w:t xml:space="preserve">At a broader level, </w:t>
      </w:r>
      <w:r w:rsidR="0067792F">
        <w:t xml:space="preserve">a hierarchical </w:t>
      </w:r>
      <w:r>
        <w:t xml:space="preserve">PKI for qualified signature certificates </w:t>
      </w:r>
      <w:r w:rsidR="004A417C">
        <w:t>is in</w:t>
      </w:r>
      <w:r>
        <w:t xml:space="preserve"> use today in several EU countries, e.g. </w:t>
      </w:r>
      <w:r w:rsidR="00342481">
        <w:t xml:space="preserve">on governmental level in </w:t>
      </w:r>
      <w:r>
        <w:t xml:space="preserve">Germany and Poland, and in countries outside the EU. The root-CA policy poses requirements to CAs that can obtain certificates, e.g. a government root-CAs may only accept qualified and supervised </w:t>
      </w:r>
      <w:proofErr w:type="gramStart"/>
      <w:r>
        <w:t>CAs,</w:t>
      </w:r>
      <w:proofErr w:type="gramEnd"/>
      <w:r>
        <w:t xml:space="preserve"> or the government may run different root-CAs for different types of CAs. Government root-CA certificates are today (at least usually) not distributed in root-stores but may be included in Trusted Lists.</w:t>
      </w:r>
    </w:p>
    <w:p w:rsidR="003B0052" w:rsidRDefault="003B0052" w:rsidP="003B0052">
      <w:r>
        <w:t xml:space="preserve">A number of commercial root-CA operators operate in a global market, e.g. </w:t>
      </w:r>
      <w:proofErr w:type="spellStart"/>
      <w:r>
        <w:t>CAcert</w:t>
      </w:r>
      <w:proofErr w:type="spellEnd"/>
      <w:r>
        <w:t xml:space="preserve">, </w:t>
      </w:r>
      <w:proofErr w:type="spellStart"/>
      <w:r>
        <w:t>DigiCert</w:t>
      </w:r>
      <w:proofErr w:type="spellEnd"/>
      <w:r>
        <w:t xml:space="preserve">, </w:t>
      </w:r>
      <w:proofErr w:type="spellStart"/>
      <w:r>
        <w:t>GlobalSign</w:t>
      </w:r>
      <w:proofErr w:type="spellEnd"/>
      <w:r>
        <w:t xml:space="preserve"> and Verisign. These services are strongly linked to use of root-stores. All CA-certificates placed under one of these root-CA operators will be trusted by default by all users of the root-stores where the root-CA is present. Some software and service suppliers, like Adobe, run their own root-CA services.</w:t>
      </w:r>
    </w:p>
    <w:p w:rsidR="003B0052" w:rsidRDefault="003B0052" w:rsidP="003B0052">
      <w:r>
        <w:t xml:space="preserve">A number of issuers of (qualified and other) certificates in Europe have their CAs placed under commercial root-CA schemes. The root-CA operators usually provide several root-CAs covering different certificate types and possibly quality levels. Requirements for obtaining a certificate must be compatible with requirements for inclusion in the root-stores. Thus, a relying party can draw some conclusions from the root-CA certificate on CA quality. However, “qualified”, commercial root-CAs do not exist. </w:t>
      </w:r>
    </w:p>
    <w:p w:rsidR="006C1A8C" w:rsidRPr="00AC7971" w:rsidRDefault="006C1A8C" w:rsidP="006C1A8C">
      <w:r w:rsidRPr="00AC7971">
        <w:t xml:space="preserve">One </w:t>
      </w:r>
      <w:r w:rsidR="0067792F">
        <w:t xml:space="preserve">concrete </w:t>
      </w:r>
      <w:r w:rsidRPr="00AC7971">
        <w:t xml:space="preserve">example </w:t>
      </w:r>
      <w:r w:rsidR="0067792F">
        <w:t xml:space="preserve">of this model </w:t>
      </w:r>
      <w:r w:rsidRPr="00AC7971">
        <w:t>is the OpenPEPPOL Trust Network (PTN)</w:t>
      </w:r>
      <w:proofErr w:type="gramStart"/>
      <w:r w:rsidRPr="00AC7971">
        <w:t>,</w:t>
      </w:r>
      <w:proofErr w:type="gramEnd"/>
      <w:r w:rsidRPr="00AC7971">
        <w:t xml:space="preserve"> the hierarchy consists of an OpenPEPPOL root CA with three </w:t>
      </w:r>
      <w:r w:rsidR="00342481">
        <w:t>sub-CA</w:t>
      </w:r>
      <w:r w:rsidRPr="00AC7971">
        <w:t xml:space="preserve">s. The OpenPEPPOL root CA issues certificates for following </w:t>
      </w:r>
      <w:r w:rsidR="00342481">
        <w:t>sub-CA</w:t>
      </w:r>
      <w:r w:rsidRPr="00AC7971">
        <w:t>s only:</w:t>
      </w:r>
    </w:p>
    <w:p w:rsidR="006C1A8C" w:rsidRPr="00AC7971" w:rsidRDefault="006C1A8C" w:rsidP="006C1A8C">
      <w:pPr>
        <w:numPr>
          <w:ilvl w:val="0"/>
          <w:numId w:val="22"/>
        </w:numPr>
      </w:pPr>
      <w:r w:rsidRPr="00AC7971">
        <w:t xml:space="preserve">OpenPEPPOL Access Point </w:t>
      </w:r>
      <w:r w:rsidR="00342481">
        <w:t>Sub-CA</w:t>
      </w:r>
    </w:p>
    <w:p w:rsidR="006C1A8C" w:rsidRPr="00AC7971" w:rsidRDefault="006C1A8C" w:rsidP="006C1A8C">
      <w:pPr>
        <w:numPr>
          <w:ilvl w:val="0"/>
          <w:numId w:val="22"/>
        </w:numPr>
      </w:pPr>
      <w:r w:rsidRPr="00AC7971">
        <w:t xml:space="preserve">OpenPEPPOL Security Token Service </w:t>
      </w:r>
      <w:r w:rsidR="00342481">
        <w:t>Sub-CA</w:t>
      </w:r>
    </w:p>
    <w:p w:rsidR="006C1A8C" w:rsidRPr="00AC7971" w:rsidRDefault="006C1A8C" w:rsidP="006C1A8C">
      <w:pPr>
        <w:numPr>
          <w:ilvl w:val="0"/>
          <w:numId w:val="22"/>
        </w:numPr>
      </w:pPr>
      <w:r w:rsidRPr="00AC7971">
        <w:t>OpenPEPPOL Service Metadata Publisher CA.</w:t>
      </w:r>
    </w:p>
    <w:p w:rsidR="006C1A8C" w:rsidRDefault="00342481" w:rsidP="006C1A8C">
      <w:r>
        <w:t>Sub-CA</w:t>
      </w:r>
      <w:r w:rsidR="006C1A8C" w:rsidRPr="00AC7971">
        <w:t xml:space="preserve"> (2) issues certificates for end entities interacting in this community. Thus, depending on the certificate issuing </w:t>
      </w:r>
      <w:r>
        <w:t>sub-CA</w:t>
      </w:r>
      <w:r w:rsidR="006C1A8C" w:rsidRPr="00AC7971">
        <w:t xml:space="preserve">, certificate owners role can directly be derived from the issuer, which implies a policy the certificate owning end entity and issuing </w:t>
      </w:r>
      <w:r>
        <w:t>sub-CA</w:t>
      </w:r>
      <w:r w:rsidR="006C1A8C" w:rsidRPr="00AC7971">
        <w:t xml:space="preserve"> agree upon.</w:t>
      </w:r>
    </w:p>
    <w:p w:rsidR="006F0170" w:rsidRDefault="006F0170">
      <w:pPr>
        <w:spacing w:after="0"/>
        <w:jc w:val="left"/>
        <w:rPr>
          <w:rFonts w:asciiTheme="majorHAnsi" w:eastAsiaTheme="majorEastAsia" w:hAnsiTheme="majorHAnsi" w:cstheme="majorBidi"/>
          <w:i/>
          <w:iCs/>
          <w:color w:val="4F81BD" w:themeColor="accent1"/>
          <w:spacing w:val="15"/>
          <w:sz w:val="24"/>
        </w:rPr>
      </w:pPr>
      <w:r>
        <w:br w:type="page"/>
      </w:r>
    </w:p>
    <w:p w:rsidR="00A62794" w:rsidRDefault="00A62794" w:rsidP="00A62794">
      <w:pPr>
        <w:pStyle w:val="Untertitel"/>
      </w:pPr>
      <w:r>
        <w:lastRenderedPageBreak/>
        <w:t>Evaluation against criteria (Section [</w:t>
      </w:r>
      <w:r>
        <w:fldChar w:fldCharType="begin"/>
      </w:r>
      <w:r>
        <w:instrText xml:space="preserve"> REF _Ref411503947 \r \h  \* MERGEFORMAT </w:instrText>
      </w:r>
      <w:r>
        <w:fldChar w:fldCharType="separate"/>
      </w:r>
      <w:r>
        <w:t>3</w:t>
      </w:r>
      <w:r>
        <w:fldChar w:fldCharType="end"/>
      </w:r>
      <w:r>
        <w:t>]):</w:t>
      </w:r>
    </w:p>
    <w:p w:rsidR="006F0170" w:rsidRDefault="006F0170" w:rsidP="007B5D71">
      <w:r>
        <w:t xml:space="preserve">Principally the same applies as for one single dedicated PKI, with one advantage: Policy/business domain/service type a certificate owners is bound to </w:t>
      </w:r>
      <w:r w:rsidR="007B5D71">
        <w:t>can be differentiated according policy agreement with issuing sub-CA.</w:t>
      </w:r>
      <w:r>
        <w:t xml:space="preserve"> </w:t>
      </w:r>
    </w:p>
    <w:p w:rsidR="00E2399E" w:rsidRDefault="0067792F" w:rsidP="00E2399E">
      <w:pPr>
        <w:pStyle w:val="berschrift4"/>
      </w:pPr>
      <w:r>
        <w:t>Bridge-CA</w:t>
      </w:r>
    </w:p>
    <w:p w:rsidR="0067792F" w:rsidRDefault="0067792F" w:rsidP="0067792F">
      <w:r>
        <w:t>A bridge-CA is a central hub, with which CAs cross-certify. The bridge-CA should be run by a neutral actor, and it shall itself only issue cross-certificates. The usual situation is cross-certification between the bridge-CA and root-CAs although individual CAs may also obtain cross-certificates. A relying party may obtain a certificate path to a given CA by starting at its own root-CA, and then proceed to a certificate issued by its root to the bridge-CA. This is shown in the figure below.</w:t>
      </w:r>
    </w:p>
    <w:p w:rsidR="0067792F" w:rsidRDefault="0067792F" w:rsidP="0067792F">
      <w:r>
        <w:t>Compli</w:t>
      </w:r>
      <w:r>
        <w:softHyphen/>
        <w:t>cated certificate paths with related challenges in path discovery and path validation may occur when using a bridge-CA.</w:t>
      </w:r>
    </w:p>
    <w:p w:rsidR="0067792F" w:rsidRPr="00CB2C7E" w:rsidRDefault="0067792F" w:rsidP="0067792F">
      <w:r>
        <w:t>Cross-certification between a CA and a bridge-CA is considerably simpler than peer-CA cross-certifi</w:t>
      </w:r>
      <w:r>
        <w:softHyphen/>
        <w:t>cation, as the bridge-CA has no (competing) role in issuing of certificates to end entities.</w:t>
      </w:r>
    </w:p>
    <w:p w:rsidR="0067792F" w:rsidRDefault="0067792F" w:rsidP="0067792F">
      <w:r>
        <w:t xml:space="preserve">Bridge-CAs </w:t>
      </w:r>
      <w:proofErr w:type="gramStart"/>
      <w:r>
        <w:t>are</w:t>
      </w:r>
      <w:proofErr w:type="gramEnd"/>
      <w:r>
        <w:t xml:space="preserve"> used at national level in some countries, notably the Federal Bridge CA (FBCA) in the USA. Commercial bridge-CAs exist usually targeted at specific business areas such as the SAFE Bridge-CA in the pharmaceutical area and the bridge-CA for the defence and aerospace area, both operating at global level.</w:t>
      </w:r>
    </w:p>
    <w:p w:rsidR="0067792F" w:rsidRDefault="0067792F" w:rsidP="0067792F">
      <w:pPr>
        <w:keepNext/>
        <w:jc w:val="center"/>
      </w:pPr>
      <w:r w:rsidRPr="00C867FB">
        <w:rPr>
          <w:noProof/>
          <w:lang w:eastAsia="en-GB"/>
        </w:rPr>
        <w:drawing>
          <wp:inline distT="0" distB="0" distL="0" distR="0" wp14:anchorId="339E8F97" wp14:editId="64F75C62">
            <wp:extent cx="4770120" cy="357759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70534" cy="3577900"/>
                    </a:xfrm>
                    <a:prstGeom prst="rect">
                      <a:avLst/>
                    </a:prstGeom>
                  </pic:spPr>
                </pic:pic>
              </a:graphicData>
            </a:graphic>
          </wp:inline>
        </w:drawing>
      </w:r>
    </w:p>
    <w:p w:rsidR="0067792F" w:rsidRDefault="0067792F" w:rsidP="0067792F">
      <w:pPr>
        <w:pStyle w:val="Beschriftung"/>
      </w:pPr>
      <w:bookmarkStart w:id="15" w:name="_Toc388877031"/>
      <w:r>
        <w:t xml:space="preserve">Figure </w:t>
      </w:r>
      <w:r w:rsidR="00651C54">
        <w:fldChar w:fldCharType="begin"/>
      </w:r>
      <w:r w:rsidR="00651C54">
        <w:instrText xml:space="preserve"> SEQ Figure \* ARABIC </w:instrText>
      </w:r>
      <w:r w:rsidR="00651C54">
        <w:fldChar w:fldCharType="separate"/>
      </w:r>
      <w:r>
        <w:rPr>
          <w:noProof/>
        </w:rPr>
        <w:t>4</w:t>
      </w:r>
      <w:r w:rsidR="00651C54">
        <w:rPr>
          <w:noProof/>
        </w:rPr>
        <w:fldChar w:fldCharType="end"/>
      </w:r>
      <w:r>
        <w:t>: Bridge-CA solution</w:t>
      </w:r>
      <w:bookmarkEnd w:id="15"/>
    </w:p>
    <w:p w:rsidR="000977C6" w:rsidRDefault="000977C6" w:rsidP="000977C6">
      <w:pPr>
        <w:pStyle w:val="Untertitel"/>
      </w:pPr>
      <w:r>
        <w:t>Evaluation against criteria (Section [</w:t>
      </w:r>
      <w:r>
        <w:fldChar w:fldCharType="begin"/>
      </w:r>
      <w:r>
        <w:instrText xml:space="preserve"> REF _Ref411503947 \r \h  \* MERGEFORMAT </w:instrText>
      </w:r>
      <w:r>
        <w:fldChar w:fldCharType="separate"/>
      </w:r>
      <w:r>
        <w:t>3</w:t>
      </w:r>
      <w:r>
        <w:fldChar w:fldCharType="end"/>
      </w:r>
      <w:r>
        <w:t>]):</w:t>
      </w:r>
    </w:p>
    <w:p w:rsidR="000977C6" w:rsidRDefault="000977C6" w:rsidP="000977C6">
      <w:r>
        <w:t>This model is given for completeness, but actually it has no noteworthy advantages to the models depicted above, rather it’s more complicated to build up the trust path</w:t>
      </w:r>
      <w:r w:rsidR="00FB7E86">
        <w:t xml:space="preserve">, as the relying party initially has </w:t>
      </w:r>
      <w:proofErr w:type="gramStart"/>
      <w:r w:rsidR="00FB7E86">
        <w:t xml:space="preserve">to </w:t>
      </w:r>
      <w:r w:rsidR="00D32BCB">
        <w:t>.</w:t>
      </w:r>
      <w:proofErr w:type="gramEnd"/>
      <w:r w:rsidR="00D32BCB" w:rsidRPr="00D32BCB">
        <w:t xml:space="preserve"> </w:t>
      </w:r>
      <w:r w:rsidR="00D32BCB">
        <w:t>A European bridge-CA cross-certifying with all CAs across Europe could be a solution to EU-</w:t>
      </w:r>
      <w:r w:rsidR="00D32BCB">
        <w:lastRenderedPageBreak/>
        <w:t>wide PKI interoperability but there is no initiative in this direction at present. Thus, an “EU bridge-CA” is not a solution model or building block that shall be promoted by e-SENS.</w:t>
      </w:r>
      <w:r w:rsidR="00944C94">
        <w:t xml:space="preserve"> Detailed evaluation against criteria is omitted here.</w:t>
      </w:r>
    </w:p>
    <w:p w:rsidR="009A70BD" w:rsidRDefault="009A70BD" w:rsidP="009A70BD">
      <w:pPr>
        <w:pStyle w:val="berschrift3"/>
      </w:pPr>
      <w:bookmarkStart w:id="16" w:name="_Toc411578959"/>
      <w:r>
        <w:t>Root-Stores</w:t>
      </w:r>
      <w:bookmarkEnd w:id="16"/>
    </w:p>
    <w:p w:rsidR="009A70BD" w:rsidRDefault="009A70BD" w:rsidP="009A70BD">
      <w:r>
        <w:t>Many operating system (e.g. Microsoft and Apple), software and service suppliers have their own root-store services, thereby distributing lists of acknowledged CA-certificates, mainly root-CA certificates, to their users.</w:t>
      </w:r>
      <w:r w:rsidRPr="00661138">
        <w:t xml:space="preserve"> </w:t>
      </w:r>
      <w:r>
        <w:t xml:space="preserve">Normally, certificates from a root-store are “installed” locally on the </w:t>
      </w:r>
      <w:proofErr w:type="gramStart"/>
      <w:r>
        <w:t>user’s</w:t>
      </w:r>
      <w:proofErr w:type="gramEnd"/>
      <w:r>
        <w:t xml:space="preserve"> (the relying party) equipment, and certificates in the root-store are trusted by default. The local copy of the root-store may be managed by removing certificates that are not to be trusted and by adding further root-CA or other certificates. </w:t>
      </w:r>
    </w:p>
    <w:p w:rsidR="009A70BD" w:rsidRDefault="009A70BD" w:rsidP="009A70BD">
      <w:r>
        <w:t>To be added in a root-store, a CA typically has to prove conformance to certain requirements, most often a “Web Trust for CA” certification is required. Some actors, e.g. Microsoft, accept</w:t>
      </w:r>
      <w:r w:rsidRPr="00325387">
        <w:rPr>
          <w:b/>
        </w:rPr>
        <w:t xml:space="preserve"> </w:t>
      </w:r>
      <w:r>
        <w:t>a certificate of compliance with ETSI TS 101 456 (policy requirements for qualified certificates) as replacement for the Web Trust certificate.</w:t>
      </w:r>
    </w:p>
    <w:p w:rsidR="009A70BD" w:rsidRDefault="009A70BD" w:rsidP="009A70BD">
      <w:r>
        <w:t>The root-stores themselves do not normally distinguish between different types of root-CA certificates. All certificates in the root-store are trusted at the same level and the relying party must perform further checks on the certificates, e.g. if verification against particular certificate quality requirements is necessary.</w:t>
      </w:r>
    </w:p>
    <w:p w:rsidR="005D29B3" w:rsidRDefault="005D29B3" w:rsidP="005D29B3">
      <w:pPr>
        <w:pStyle w:val="Untertitel"/>
      </w:pPr>
      <w:r>
        <w:t>Evaluation against criteria (Section [</w:t>
      </w:r>
      <w:r>
        <w:fldChar w:fldCharType="begin"/>
      </w:r>
      <w:r>
        <w:instrText xml:space="preserve"> REF _Ref411503947 \r \h  \* MERGEFORMAT </w:instrText>
      </w:r>
      <w:r>
        <w:fldChar w:fldCharType="separate"/>
      </w:r>
      <w:r>
        <w:t>3</w:t>
      </w:r>
      <w:r>
        <w:fldChar w:fldCharType="end"/>
      </w:r>
      <w:r>
        <w:t>]):</w:t>
      </w:r>
    </w:p>
    <w:p w:rsidR="005D29B3" w:rsidRPr="005D29B3" w:rsidRDefault="005D29B3" w:rsidP="009A70BD">
      <w:pPr>
        <w:rPr>
          <w:i/>
        </w:rPr>
      </w:pPr>
      <w:proofErr w:type="spellStart"/>
      <w:proofErr w:type="gramStart"/>
      <w:r w:rsidRPr="005D29B3">
        <w:rPr>
          <w:i/>
          <w:highlight w:val="yellow"/>
        </w:rPr>
        <w:t>tdb</w:t>
      </w:r>
      <w:proofErr w:type="spellEnd"/>
      <w:proofErr w:type="gramEnd"/>
    </w:p>
    <w:p w:rsidR="006C1A8C" w:rsidRPr="00AC7971" w:rsidRDefault="006C1A8C" w:rsidP="009A70BD">
      <w:pPr>
        <w:pStyle w:val="berschrift2"/>
      </w:pPr>
      <w:bookmarkStart w:id="17" w:name="_Toc411578960"/>
      <w:r w:rsidRPr="00AC7971">
        <w:t>Brokered Trust Models</w:t>
      </w:r>
      <w:bookmarkEnd w:id="17"/>
    </w:p>
    <w:p w:rsidR="006C1A8C" w:rsidRPr="00AC7971" w:rsidRDefault="006C1A8C" w:rsidP="006C1A8C">
      <w:r w:rsidRPr="00AC7971">
        <w:t xml:space="preserve">In the Brokered Trust Models, there is no direct trust established between interacting parties of different Trust Domains. There must be a broker - trusted intermediary </w:t>
      </w:r>
      <w:r w:rsidR="009A70BD">
        <w:t>–</w:t>
      </w:r>
      <w:r w:rsidRPr="00AC7971">
        <w:t xml:space="preserve"> available</w:t>
      </w:r>
      <w:r w:rsidR="009A70BD">
        <w:t>,</w:t>
      </w:r>
      <w:r w:rsidRPr="00AC7971">
        <w:t xml:space="preserve"> able to validate security tokens of foreign Trust Domains.  </w:t>
      </w:r>
      <w:r w:rsidR="004A24B1" w:rsidRPr="00AC7971">
        <w:t>“</w:t>
      </w:r>
      <w:r w:rsidR="004A24B1">
        <w:t>…</w:t>
      </w:r>
      <w:r w:rsidR="004A24B1" w:rsidRPr="00AC7971">
        <w:t xml:space="preserve"> Brokered Trust is when one party trusts a second party who, in turn, trusts or vouches for, a third party”</w:t>
      </w:r>
      <w:r w:rsidR="004A24B1" w:rsidRPr="009A70BD">
        <w:rPr>
          <w:vertAlign w:val="superscript"/>
        </w:rPr>
        <w:fldChar w:fldCharType="begin"/>
      </w:r>
      <w:r w:rsidR="004A24B1" w:rsidRPr="009A70BD">
        <w:rPr>
          <w:vertAlign w:val="superscript"/>
        </w:rPr>
        <w:instrText xml:space="preserve"> NOTEREF _Ref411429963 \h </w:instrText>
      </w:r>
      <w:r w:rsidR="004A24B1">
        <w:rPr>
          <w:vertAlign w:val="superscript"/>
        </w:rPr>
        <w:instrText xml:space="preserve"> \* MERGEFORMAT </w:instrText>
      </w:r>
      <w:r w:rsidR="004A24B1" w:rsidRPr="009A70BD">
        <w:rPr>
          <w:vertAlign w:val="superscript"/>
        </w:rPr>
      </w:r>
      <w:r w:rsidR="004A24B1" w:rsidRPr="009A70BD">
        <w:rPr>
          <w:vertAlign w:val="superscript"/>
        </w:rPr>
        <w:fldChar w:fldCharType="separate"/>
      </w:r>
      <w:r w:rsidR="004A24B1" w:rsidRPr="009A70BD">
        <w:rPr>
          <w:vertAlign w:val="superscript"/>
        </w:rPr>
        <w:t>2</w:t>
      </w:r>
      <w:r w:rsidR="004A24B1" w:rsidRPr="009A70BD">
        <w:rPr>
          <w:vertAlign w:val="superscript"/>
        </w:rPr>
        <w:fldChar w:fldCharType="end"/>
      </w:r>
      <w:r w:rsidR="004A24B1">
        <w:t>; t</w:t>
      </w:r>
      <w:r w:rsidR="004A24B1" w:rsidRPr="00AC7971">
        <w:t>his includes vouching for claims of entities carried out in third party security tokens</w:t>
      </w:r>
      <w:r w:rsidR="004A24B1">
        <w:t>.</w:t>
      </w:r>
      <w:r w:rsidR="004A24B1" w:rsidRPr="00AC7971">
        <w:t xml:space="preserve"> </w:t>
      </w:r>
      <w:r w:rsidRPr="00AC7971">
        <w:t xml:space="preserve">This model fits best when establishing trust between different Trust Domains, which even may use different local mechanisms for trust establishment. The challenge for e-SENS is to establish trust to those second parties vouching for trust of the entities inside the particular Trust Domains. Different from the </w:t>
      </w:r>
      <w:r w:rsidR="009A70BD">
        <w:t>Indirect (PKI based) Trust Models described abov</w:t>
      </w:r>
      <w:r w:rsidR="005A1385">
        <w:t>e</w:t>
      </w:r>
      <w:r w:rsidRPr="00AC7971">
        <w:t xml:space="preserve"> a relying party also needs to assess the risk related to the acceptance of the second party certificate and the trustworthiness of the issuing CA as well as the second party TSP itself. </w:t>
      </w:r>
    </w:p>
    <w:p w:rsidR="006C1A8C" w:rsidRPr="00AC7971" w:rsidRDefault="006C1A8C" w:rsidP="005A1385">
      <w:r w:rsidRPr="00AC7971">
        <w:t>In the Direct Brokered Trust Model, it is assumed that there is a business agreement in place between the relying party and the broker, which explicitly identifies trust relationships to foreign security token issuers and thus allows for direct trust in those tokens by the relying party.</w:t>
      </w:r>
    </w:p>
    <w:p w:rsidR="006C1A8C" w:rsidRPr="00AC7971" w:rsidRDefault="006C1A8C" w:rsidP="006C1A8C">
      <w:r w:rsidRPr="00AC7971">
        <w:t xml:space="preserve">Different from the Direct Brokered Trust Model, the </w:t>
      </w:r>
      <w:r w:rsidR="005A1385">
        <w:t>Ind</w:t>
      </w:r>
      <w:r w:rsidR="005A1385" w:rsidRPr="00AC7971">
        <w:t>irect Brokered Trust Model</w:t>
      </w:r>
      <w:r w:rsidRPr="00AC7971">
        <w:t xml:space="preserve"> places broader trust in the broker, “allowing it to act as an agent for the service provider and to establish paths to other parties without requiring that those parties be identified in advance in the business agreement between the local service provider and the intermediary. This subcase can allow business trust to be established more dynamically and to a broader range of peers.”</w:t>
      </w:r>
      <w:r w:rsidRPr="00AC7971">
        <w:rPr>
          <w:vertAlign w:val="superscript"/>
        </w:rPr>
        <w:t xml:space="preserve"> </w:t>
      </w:r>
      <w:r w:rsidRPr="00AC7971">
        <w:rPr>
          <w:vertAlign w:val="superscript"/>
        </w:rPr>
        <w:footnoteReference w:id="9"/>
      </w:r>
    </w:p>
    <w:p w:rsidR="005A1385" w:rsidRDefault="006C1A8C" w:rsidP="006C1A8C">
      <w:r w:rsidRPr="00AC7971">
        <w:rPr>
          <w:b/>
        </w:rPr>
        <w:lastRenderedPageBreak/>
        <w:t xml:space="preserve">Note: </w:t>
      </w:r>
      <w:r w:rsidRPr="00AC7971">
        <w:t xml:space="preserve">From </w:t>
      </w:r>
      <w:r w:rsidR="005A1385">
        <w:t>the</w:t>
      </w:r>
      <w:r w:rsidRPr="00AC7971">
        <w:t xml:space="preserve"> technical viewpoint, there is no difference between these two Brokered Trust Models</w:t>
      </w:r>
      <w:r w:rsidR="005A1385">
        <w:t xml:space="preserve">. </w:t>
      </w:r>
    </w:p>
    <w:p w:rsidR="00CD4D7B" w:rsidRDefault="00CD4D7B" w:rsidP="006C1A8C">
      <w:r>
        <w:t xml:space="preserve">Following figure depicts </w:t>
      </w:r>
      <w:r w:rsidR="000A763D">
        <w:t>the cross Trust Domain flow and a</w:t>
      </w:r>
      <w:r>
        <w:t>uthentication</w:t>
      </w:r>
      <w:r w:rsidR="000A763D">
        <w:t xml:space="preserve"> of a service request:</w:t>
      </w:r>
    </w:p>
    <w:p w:rsidR="00CD4D7B" w:rsidRPr="00AC7971" w:rsidRDefault="00CD4D7B" w:rsidP="000A763D">
      <w:pPr>
        <w:jc w:val="center"/>
      </w:pPr>
      <w:r>
        <w:rPr>
          <w:noProof/>
          <w:lang w:eastAsia="en-GB"/>
        </w:rPr>
        <w:drawing>
          <wp:inline distT="0" distB="0" distL="0" distR="0" wp14:anchorId="183AE523" wp14:editId="26752B5C">
            <wp:extent cx="5763260" cy="2881630"/>
            <wp:effectExtent l="0" t="0" r="8890" b="0"/>
            <wp:docPr id="4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260" cy="2881630"/>
                    </a:xfrm>
                    <a:prstGeom prst="rect">
                      <a:avLst/>
                    </a:prstGeom>
                    <a:noFill/>
                    <a:ln>
                      <a:noFill/>
                    </a:ln>
                  </pic:spPr>
                </pic:pic>
              </a:graphicData>
            </a:graphic>
          </wp:inline>
        </w:drawing>
      </w:r>
    </w:p>
    <w:p w:rsidR="00CD4D7B" w:rsidRDefault="00CD4D7B" w:rsidP="000A763D">
      <w:pPr>
        <w:jc w:val="center"/>
        <w:rPr>
          <w:b/>
          <w:bCs/>
          <w:i/>
        </w:rPr>
      </w:pPr>
      <w:bookmarkStart w:id="18" w:name="_Ref411435476"/>
      <w:r w:rsidRPr="00AC7971">
        <w:rPr>
          <w:b/>
          <w:bCs/>
          <w:i/>
        </w:rPr>
        <w:t xml:space="preserve">Figure </w:t>
      </w:r>
      <w:r w:rsidRPr="00AC7971">
        <w:rPr>
          <w:b/>
          <w:bCs/>
          <w:i/>
        </w:rPr>
        <w:fldChar w:fldCharType="begin"/>
      </w:r>
      <w:r w:rsidRPr="00AC7971">
        <w:rPr>
          <w:b/>
          <w:bCs/>
          <w:i/>
        </w:rPr>
        <w:instrText xml:space="preserve"> SEQ Figure \* ARABIC </w:instrText>
      </w:r>
      <w:r w:rsidRPr="00AC7971">
        <w:rPr>
          <w:b/>
          <w:bCs/>
          <w:i/>
        </w:rPr>
        <w:fldChar w:fldCharType="separate"/>
      </w:r>
      <w:r w:rsidR="00740833">
        <w:rPr>
          <w:b/>
          <w:bCs/>
          <w:i/>
          <w:noProof/>
        </w:rPr>
        <w:t>6</w:t>
      </w:r>
      <w:r w:rsidRPr="00AC7971">
        <w:fldChar w:fldCharType="end"/>
      </w:r>
      <w:bookmarkEnd w:id="18"/>
      <w:r w:rsidR="000A763D">
        <w:rPr>
          <w:b/>
          <w:bCs/>
          <w:i/>
        </w:rPr>
        <w:t>: Brokered Trust Use C</w:t>
      </w:r>
      <w:r w:rsidRPr="00AC7971">
        <w:rPr>
          <w:b/>
          <w:bCs/>
          <w:i/>
        </w:rPr>
        <w:t>ase</w:t>
      </w:r>
    </w:p>
    <w:p w:rsidR="005D29B3" w:rsidRDefault="005D29B3" w:rsidP="005D29B3">
      <w:pPr>
        <w:pStyle w:val="Untertitel"/>
      </w:pPr>
      <w:r>
        <w:t>Evaluation against criteria (Section [</w:t>
      </w:r>
      <w:r>
        <w:fldChar w:fldCharType="begin"/>
      </w:r>
      <w:r>
        <w:instrText xml:space="preserve"> REF _Ref411503947 \r \h  \* MERGEFORMAT </w:instrText>
      </w:r>
      <w:r>
        <w:fldChar w:fldCharType="separate"/>
      </w:r>
      <w:r>
        <w:t>3</w:t>
      </w:r>
      <w:r>
        <w:fldChar w:fldCharType="end"/>
      </w:r>
      <w:r>
        <w:t>]):</w:t>
      </w:r>
    </w:p>
    <w:p w:rsidR="005D29B3" w:rsidRPr="005D29B3" w:rsidRDefault="00761652" w:rsidP="005D29B3">
      <w:pPr>
        <w:rPr>
          <w:i/>
        </w:rPr>
      </w:pPr>
      <w:proofErr w:type="spellStart"/>
      <w:proofErr w:type="gramStart"/>
      <w:r w:rsidRPr="00761652">
        <w:rPr>
          <w:i/>
          <w:highlight w:val="yellow"/>
        </w:rPr>
        <w:t>t</w:t>
      </w:r>
      <w:r w:rsidR="005D29B3" w:rsidRPr="00761652">
        <w:rPr>
          <w:i/>
          <w:highlight w:val="yellow"/>
        </w:rPr>
        <w:t>db</w:t>
      </w:r>
      <w:proofErr w:type="spellEnd"/>
      <w:proofErr w:type="gramEnd"/>
      <w:r w:rsidRPr="00761652">
        <w:rPr>
          <w:i/>
          <w:highlight w:val="yellow"/>
        </w:rPr>
        <w:t xml:space="preserve"> – in conjunction with section </w:t>
      </w:r>
      <w:r w:rsidRPr="00761652">
        <w:rPr>
          <w:i/>
          <w:highlight w:val="yellow"/>
        </w:rPr>
        <w:fldChar w:fldCharType="begin"/>
      </w:r>
      <w:r w:rsidRPr="00761652">
        <w:rPr>
          <w:i/>
          <w:highlight w:val="yellow"/>
        </w:rPr>
        <w:instrText xml:space="preserve"> REF _Ref411578619 \r \h </w:instrText>
      </w:r>
      <w:r w:rsidRPr="00761652">
        <w:rPr>
          <w:i/>
          <w:highlight w:val="yellow"/>
        </w:rPr>
      </w:r>
      <w:r>
        <w:rPr>
          <w:i/>
          <w:highlight w:val="yellow"/>
        </w:rPr>
        <w:instrText xml:space="preserve"> \* MERGEFORMAT </w:instrText>
      </w:r>
      <w:r w:rsidRPr="00761652">
        <w:rPr>
          <w:i/>
          <w:highlight w:val="yellow"/>
        </w:rPr>
        <w:fldChar w:fldCharType="separate"/>
      </w:r>
      <w:r w:rsidRPr="00761652">
        <w:rPr>
          <w:i/>
          <w:highlight w:val="yellow"/>
        </w:rPr>
        <w:t>5</w:t>
      </w:r>
      <w:r w:rsidRPr="00761652">
        <w:rPr>
          <w:i/>
          <w:highlight w:val="yellow"/>
        </w:rPr>
        <w:fldChar w:fldCharType="end"/>
      </w:r>
      <w:r>
        <w:rPr>
          <w:i/>
        </w:rPr>
        <w:t xml:space="preserve"> </w:t>
      </w:r>
    </w:p>
    <w:p w:rsidR="006C1A8C" w:rsidRPr="00AC7971" w:rsidRDefault="006C1A8C" w:rsidP="0045524F">
      <w:pPr>
        <w:pStyle w:val="berschrift2"/>
      </w:pPr>
      <w:bookmarkStart w:id="19" w:name="_Toc411578961"/>
      <w:r w:rsidRPr="00AC7971">
        <w:t>Trust Federation using Trust Lists</w:t>
      </w:r>
      <w:bookmarkEnd w:id="19"/>
    </w:p>
    <w:p w:rsidR="007E0F1D" w:rsidRDefault="006C1A8C" w:rsidP="006C1A8C">
      <w:r w:rsidRPr="00AC7971">
        <w:t xml:space="preserve">Among others, to enable Trust Federation at least for CAs issuing qualified signature certificates (which is just one type of TS), the EUMS already implemented the concept of “Trust Service Status List”, which </w:t>
      </w:r>
      <w:r w:rsidR="007E0F1D">
        <w:t>should</w:t>
      </w:r>
      <w:r w:rsidRPr="00AC7971">
        <w:t xml:space="preserve"> be adopted by e-SENS and extended to other types of TS</w:t>
      </w:r>
      <w:r w:rsidR="007E0F1D">
        <w:t>.</w:t>
      </w:r>
    </w:p>
    <w:p w:rsidR="007E0F1D" w:rsidRDefault="007E0F1D" w:rsidP="007E0F1D">
      <w:pPr>
        <w:rPr>
          <w:lang w:val="en-US" w:eastAsia="x-none"/>
        </w:rPr>
      </w:pPr>
      <w:r>
        <w:rPr>
          <w:lang w:val="en-US" w:eastAsia="x-none"/>
        </w:rPr>
        <w:t>“</w:t>
      </w:r>
      <w:r w:rsidRPr="00B053EF">
        <w:rPr>
          <w:lang w:val="en-US" w:eastAsia="x-none"/>
        </w:rPr>
        <w:t>Trusted lists</w:t>
      </w:r>
      <w:r>
        <w:rPr>
          <w:lang w:val="en-US" w:eastAsia="x-none"/>
        </w:rPr>
        <w:t xml:space="preserve"> …</w:t>
      </w:r>
      <w:r w:rsidRPr="00B053EF">
        <w:rPr>
          <w:lang w:val="en-US" w:eastAsia="x-none"/>
        </w:rPr>
        <w:t xml:space="preserve"> enable in practice any interested party to determine whether a trust service is or was operating in compliance with relevant requirements, currently or at some time in the past (e.g. at the time the service was provided, or at the time at which a transaction reliant on that service took place). In order to fulfil this requirement, trusted lists necessarily contain information from which it can be established whether the TSP’s service is, or was, known by the Trusted List Scheme Operator (TLSO) and</w:t>
      </w:r>
      <w:r>
        <w:rPr>
          <w:lang w:val="en-US" w:eastAsia="x-none"/>
        </w:rPr>
        <w:t>,</w:t>
      </w:r>
      <w:r w:rsidRPr="00B053EF">
        <w:rPr>
          <w:lang w:val="en-US" w:eastAsia="x-none"/>
        </w:rPr>
        <w:t xml:space="preserve"> if so</w:t>
      </w:r>
      <w:r>
        <w:rPr>
          <w:lang w:val="en-US" w:eastAsia="x-none"/>
        </w:rPr>
        <w:t>,</w:t>
      </w:r>
      <w:r w:rsidRPr="00B053EF">
        <w:rPr>
          <w:lang w:val="en-US" w:eastAsia="x-none"/>
        </w:rPr>
        <w:t xml:space="preserve"> the status of the service. Trusted lists therefore contain not only the service's current status, but also the history of its status.</w:t>
      </w:r>
      <w:r>
        <w:rPr>
          <w:lang w:val="en-US" w:eastAsia="x-none"/>
        </w:rPr>
        <w:t>” (ETSI TS 119 612 “Trusted Lists”</w:t>
      </w:r>
      <w:r>
        <w:rPr>
          <w:rStyle w:val="Funotenzeichen"/>
          <w:lang w:val="en-US" w:eastAsia="x-none"/>
        </w:rPr>
        <w:footnoteReference w:id="10"/>
      </w:r>
      <w:r>
        <w:rPr>
          <w:lang w:val="en-US" w:eastAsia="x-none"/>
        </w:rPr>
        <w:t>, page 8).</w:t>
      </w:r>
    </w:p>
    <w:p w:rsidR="007E0F1D" w:rsidRPr="00CB0C7D" w:rsidRDefault="007E0F1D" w:rsidP="007E0F1D">
      <w:pPr>
        <w:rPr>
          <w:rFonts w:eastAsia="Calibri" w:cs="Arial"/>
          <w:szCs w:val="22"/>
          <w:lang w:eastAsia="en-GB"/>
        </w:rPr>
      </w:pPr>
      <w:r>
        <w:rPr>
          <w:rFonts w:cs="TimesNewRoman"/>
          <w:szCs w:val="22"/>
          <w:lang w:eastAsia="en-GB"/>
        </w:rPr>
        <w:t>Actually t</w:t>
      </w:r>
      <w:r w:rsidRPr="00CB0C7D">
        <w:rPr>
          <w:rFonts w:cs="TimesNewRoman"/>
          <w:szCs w:val="22"/>
          <w:lang w:eastAsia="en-GB"/>
        </w:rPr>
        <w:t>he eI</w:t>
      </w:r>
      <w:r>
        <w:rPr>
          <w:rFonts w:cs="TimesNewRoman"/>
          <w:szCs w:val="22"/>
          <w:lang w:eastAsia="en-GB"/>
        </w:rPr>
        <w:t>D</w:t>
      </w:r>
      <w:r w:rsidRPr="00CB0C7D">
        <w:rPr>
          <w:rFonts w:cs="TimesNewRoman"/>
          <w:szCs w:val="22"/>
          <w:lang w:eastAsia="en-GB"/>
        </w:rPr>
        <w:t xml:space="preserve">AS regulation </w:t>
      </w:r>
      <w:r>
        <w:rPr>
          <w:rFonts w:cs="TimesNewRoman"/>
          <w:szCs w:val="22"/>
          <w:lang w:eastAsia="en-GB"/>
        </w:rPr>
        <w:t xml:space="preserve">gives a </w:t>
      </w:r>
      <w:r w:rsidRPr="00CB0C7D">
        <w:rPr>
          <w:rFonts w:cs="TimesNewRoman"/>
          <w:szCs w:val="22"/>
          <w:lang w:eastAsia="en-GB"/>
        </w:rPr>
        <w:t>legislati</w:t>
      </w:r>
      <w:r>
        <w:rPr>
          <w:rFonts w:cs="TimesNewRoman"/>
          <w:szCs w:val="22"/>
          <w:lang w:eastAsia="en-GB"/>
        </w:rPr>
        <w:t>ve base</w:t>
      </w:r>
      <w:r w:rsidRPr="00CB0C7D">
        <w:rPr>
          <w:rFonts w:cs="TimesNewRoman"/>
          <w:szCs w:val="22"/>
          <w:lang w:eastAsia="en-GB"/>
        </w:rPr>
        <w:t xml:space="preserve"> to expand </w:t>
      </w:r>
      <w:r>
        <w:rPr>
          <w:rFonts w:cs="TimesNewRoman"/>
          <w:szCs w:val="22"/>
          <w:lang w:eastAsia="en-GB"/>
        </w:rPr>
        <w:t>Trust List (TL) usage</w:t>
      </w:r>
      <w:r w:rsidRPr="00CB0C7D">
        <w:rPr>
          <w:rFonts w:cs="TimesNewRoman"/>
          <w:szCs w:val="22"/>
          <w:lang w:eastAsia="en-GB"/>
        </w:rPr>
        <w:t xml:space="preserve"> to cover the mutual recognition and acceptance at EU level of notified electronic identification schemes and othe</w:t>
      </w:r>
      <w:r>
        <w:rPr>
          <w:rFonts w:cs="TimesNewRoman"/>
          <w:szCs w:val="22"/>
          <w:lang w:eastAsia="en-GB"/>
        </w:rPr>
        <w:t>r essential related electronic Trust S</w:t>
      </w:r>
      <w:r w:rsidRPr="00CB0C7D">
        <w:rPr>
          <w:rFonts w:cs="TimesNewRoman"/>
          <w:szCs w:val="22"/>
          <w:lang w:eastAsia="en-GB"/>
        </w:rPr>
        <w:t xml:space="preserve">ervices. </w:t>
      </w:r>
      <w:r>
        <w:rPr>
          <w:rFonts w:eastAsia="Calibri" w:cs="Arial"/>
          <w:szCs w:val="22"/>
          <w:lang w:eastAsia="en-GB"/>
        </w:rPr>
        <w:t xml:space="preserve">Independent from the aims of the eIDAS regulation to extend the “official national TLs” to cover more types of Trusted Services, TLs can be set up at a </w:t>
      </w:r>
      <w:r>
        <w:rPr>
          <w:rFonts w:eastAsia="Calibri" w:cs="Arial"/>
          <w:szCs w:val="22"/>
          <w:lang w:eastAsia="en-GB"/>
        </w:rPr>
        <w:lastRenderedPageBreak/>
        <w:t>community level – which could be an e-SENS wide TL or even different instances on domain level, which then may have different TL Scheme Operator policies in effect, if needed.</w:t>
      </w:r>
      <w:r>
        <w:rPr>
          <w:rStyle w:val="Funotenzeichen"/>
          <w:rFonts w:eastAsia="Calibri" w:cs="Arial"/>
          <w:szCs w:val="22"/>
          <w:lang w:eastAsia="en-GB"/>
        </w:rPr>
        <w:footnoteReference w:id="11"/>
      </w:r>
      <w:r>
        <w:rPr>
          <w:rFonts w:eastAsia="Calibri" w:cs="Arial"/>
          <w:szCs w:val="22"/>
          <w:lang w:eastAsia="en-GB"/>
        </w:rPr>
        <w:t xml:space="preserve">  </w:t>
      </w:r>
    </w:p>
    <w:p w:rsidR="006C1A8C" w:rsidRPr="00AC7971" w:rsidRDefault="006C1A8C" w:rsidP="006C1A8C">
      <w:r w:rsidRPr="00AC7971">
        <w:t xml:space="preserve"> A TL entry includes a “digital identity” of the TS used to authenticate it (this usually is an X509v3-Certificate used for signing tokens and service results provided by the respective TS). The digital identity token and signature of the service output can be used by TS consumers as Relying Party to validate its authenticity and integrity; they may use the TL to discover the actual (as well as historical) TS status. Anyhow, the underlying concept of “Trust Service Status List” does not replace the need of verifying the actual validity of the digital identity token; this again must be done using the means of the token issuing authority</w:t>
      </w:r>
      <w:r w:rsidR="007E0F1D">
        <w:t>.</w:t>
      </w:r>
    </w:p>
    <w:p w:rsidR="006C1A8C" w:rsidRPr="00AC7971" w:rsidRDefault="006C1A8C" w:rsidP="006C1A8C">
      <w:r w:rsidRPr="00AC7971">
        <w:t xml:space="preserve">The </w:t>
      </w:r>
      <w:r w:rsidR="004A24B1">
        <w:t>Community</w:t>
      </w:r>
      <w:r w:rsidR="00CD4D7B">
        <w:t>-</w:t>
      </w:r>
      <w:r w:rsidR="004A24B1">
        <w:t xml:space="preserve"> </w:t>
      </w:r>
      <w:r w:rsidR="00CD4D7B">
        <w:t>as well as Brokered Trust</w:t>
      </w:r>
      <w:r w:rsidR="00CD4D7B" w:rsidRPr="00AC7971">
        <w:t xml:space="preserve"> </w:t>
      </w:r>
      <w:r w:rsidRPr="00AC7971">
        <w:t>model</w:t>
      </w:r>
      <w:r w:rsidR="004A24B1">
        <w:t>s</w:t>
      </w:r>
      <w:r w:rsidRPr="00AC7971">
        <w:t xml:space="preserve"> </w:t>
      </w:r>
      <w:r w:rsidR="004A24B1">
        <w:t>may</w:t>
      </w:r>
      <w:r w:rsidRPr="00AC7971">
        <w:t xml:space="preserve"> be combined with the Trust List. If a certificate is presented from a PKI not trusted by default, the TL should be checked if the certificate is the one listed “digital identity” of the service in question. </w:t>
      </w:r>
    </w:p>
    <w:p w:rsidR="006C1A8C" w:rsidRDefault="006C1A8C" w:rsidP="006C1A8C">
      <w:r w:rsidRPr="00AC7971">
        <w:t>The e-SENS Trusted Service Lists may include TSPs and their TSs of EU and Non-EU member states participating in e-SENS. Different TLs may be set up according to domain needs, operating under domain-specific policy schemes.</w:t>
      </w:r>
    </w:p>
    <w:p w:rsidR="0079150E" w:rsidRPr="00AC7971" w:rsidRDefault="0079150E" w:rsidP="0079150E">
      <w:r>
        <w:t xml:space="preserve">TL(s) could be managed centrally or on domain-level, what would require an adequate governance model and some centralized infrastructure: </w:t>
      </w:r>
    </w:p>
    <w:p w:rsidR="0079150E" w:rsidRPr="00AC7971" w:rsidRDefault="0079150E" w:rsidP="0079150E">
      <w:pPr>
        <w:jc w:val="center"/>
      </w:pPr>
      <w:r>
        <w:rPr>
          <w:noProof/>
          <w:lang w:eastAsia="en-GB"/>
        </w:rPr>
        <w:drawing>
          <wp:inline distT="0" distB="0" distL="0" distR="0" wp14:anchorId="5BF5C740" wp14:editId="7EE9C9A6">
            <wp:extent cx="4384675" cy="2292985"/>
            <wp:effectExtent l="0" t="0" r="0" b="0"/>
            <wp:docPr id="3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4675" cy="2292985"/>
                    </a:xfrm>
                    <a:prstGeom prst="rect">
                      <a:avLst/>
                    </a:prstGeom>
                    <a:noFill/>
                    <a:ln>
                      <a:noFill/>
                    </a:ln>
                  </pic:spPr>
                </pic:pic>
              </a:graphicData>
            </a:graphic>
          </wp:inline>
        </w:drawing>
      </w:r>
    </w:p>
    <w:p w:rsidR="0079150E" w:rsidRPr="00AC7971" w:rsidRDefault="0079150E" w:rsidP="0079150E">
      <w:pPr>
        <w:jc w:val="center"/>
        <w:rPr>
          <w:b/>
          <w:bCs/>
          <w:i/>
        </w:rPr>
      </w:pPr>
      <w:r w:rsidRPr="00AC7971">
        <w:rPr>
          <w:b/>
          <w:bCs/>
          <w:i/>
        </w:rPr>
        <w:t xml:space="preserve">Figure </w:t>
      </w:r>
      <w:r w:rsidRPr="00AC7971">
        <w:rPr>
          <w:b/>
          <w:bCs/>
          <w:i/>
        </w:rPr>
        <w:fldChar w:fldCharType="begin"/>
      </w:r>
      <w:r w:rsidRPr="00AC7971">
        <w:rPr>
          <w:b/>
          <w:bCs/>
          <w:i/>
        </w:rPr>
        <w:instrText xml:space="preserve"> SEQ Figure \* ARABIC </w:instrText>
      </w:r>
      <w:r w:rsidRPr="00AC7971">
        <w:rPr>
          <w:b/>
          <w:bCs/>
          <w:i/>
        </w:rPr>
        <w:fldChar w:fldCharType="separate"/>
      </w:r>
      <w:r w:rsidR="00740833">
        <w:rPr>
          <w:b/>
          <w:bCs/>
          <w:i/>
          <w:noProof/>
        </w:rPr>
        <w:t>7</w:t>
      </w:r>
      <w:r w:rsidRPr="00AC7971">
        <w:fldChar w:fldCharType="end"/>
      </w:r>
      <w:r w:rsidRPr="00AC7971">
        <w:rPr>
          <w:b/>
          <w:bCs/>
          <w:i/>
        </w:rPr>
        <w:t>: Trust Establishment using a Trust List</w:t>
      </w:r>
    </w:p>
    <w:p w:rsidR="0079150E" w:rsidRDefault="0079150E" w:rsidP="0079150E">
      <w:r w:rsidRPr="00AC7971">
        <w:t xml:space="preserve">Perquisite is a common agreement of the </w:t>
      </w:r>
      <w:r w:rsidR="00740833">
        <w:t>TSP</w:t>
      </w:r>
      <w:r w:rsidRPr="00AC7971">
        <w:t xml:space="preserve"> and the Trust List </w:t>
      </w:r>
      <w:r w:rsidR="00740833">
        <w:t>Maintainer</w:t>
      </w:r>
      <w:r w:rsidRPr="00AC7971">
        <w:t xml:space="preserve"> on a contractual base, liability agreements and operational policy. An exposure of a TSP in the Trust List (which may be Domain specific instances) must be preceded by an accurate policy conformance evaluation and rating of Trust Status and TSP Service Quality. Continuous or periodic supervision of conformance of TSP status and operation is a matter of the operational policy of the TL Provider. This policy should be based on contractual agreements between the TL Provider and TSPs covered by this TL instance or even may be regulated by</w:t>
      </w:r>
      <w:r w:rsidR="009A757B">
        <w:t xml:space="preserve"> law (as e.g. for CA’s issuing c</w:t>
      </w:r>
      <w:r w:rsidRPr="00AC7971">
        <w:t>ertificate</w:t>
      </w:r>
      <w:r w:rsidR="009A757B">
        <w:t>s</w:t>
      </w:r>
      <w:r w:rsidRPr="00AC7971">
        <w:t xml:space="preserve"> for qualified Signature / Seals). TSP attributes exposed in the actual Trust List must reflect the actual TSP status. Historical records must be kept in the TL to allow retrospective lookup of TSP attributes.  </w:t>
      </w:r>
    </w:p>
    <w:p w:rsidR="00761652" w:rsidRDefault="00761652" w:rsidP="00761652">
      <w:pPr>
        <w:pStyle w:val="Untertitel"/>
      </w:pPr>
      <w:r>
        <w:t>Evaluation against criteria (Section [</w:t>
      </w:r>
      <w:r>
        <w:fldChar w:fldCharType="begin"/>
      </w:r>
      <w:r>
        <w:instrText xml:space="preserve"> REF _Ref411503947 \r \h  \* MERGEFORMAT </w:instrText>
      </w:r>
      <w:r>
        <w:fldChar w:fldCharType="separate"/>
      </w:r>
      <w:r>
        <w:t>3</w:t>
      </w:r>
      <w:r>
        <w:fldChar w:fldCharType="end"/>
      </w:r>
      <w:r>
        <w:t>]):</w:t>
      </w:r>
    </w:p>
    <w:p w:rsidR="00761652" w:rsidRDefault="00761652" w:rsidP="00761652">
      <w:pPr>
        <w:rPr>
          <w:i/>
        </w:rPr>
      </w:pPr>
      <w:proofErr w:type="spellStart"/>
      <w:proofErr w:type="gramStart"/>
      <w:r w:rsidRPr="00761652">
        <w:rPr>
          <w:i/>
          <w:highlight w:val="yellow"/>
        </w:rPr>
        <w:t>tdb</w:t>
      </w:r>
      <w:proofErr w:type="spellEnd"/>
      <w:proofErr w:type="gramEnd"/>
      <w:r w:rsidRPr="00761652">
        <w:rPr>
          <w:i/>
          <w:highlight w:val="yellow"/>
        </w:rPr>
        <w:t xml:space="preserve"> </w:t>
      </w:r>
      <w:bookmarkStart w:id="20" w:name="_Ref411578619"/>
    </w:p>
    <w:p w:rsidR="009A757B" w:rsidRDefault="00D43C2A" w:rsidP="00761652">
      <w:pPr>
        <w:pStyle w:val="berschrift1"/>
      </w:pPr>
      <w:bookmarkStart w:id="21" w:name="_Toc411578962"/>
      <w:r>
        <w:lastRenderedPageBreak/>
        <w:t>Usage of SAML Token and Security Token Services for Trust-Brokerage</w:t>
      </w:r>
      <w:bookmarkEnd w:id="20"/>
      <w:bookmarkEnd w:id="21"/>
    </w:p>
    <w:p w:rsidR="006C1A8C" w:rsidRDefault="00D43C2A" w:rsidP="009A757B">
      <w:r>
        <w:t>For purposes of authentication</w:t>
      </w:r>
      <w:r w:rsidR="00651C54">
        <w:t>, X509v3</w:t>
      </w:r>
      <w:r>
        <w:t xml:space="preserve">-Certificates have very limited means. If additional claims, </w:t>
      </w:r>
      <w:r w:rsidR="00F31F91">
        <w:t>attributes, token validity</w:t>
      </w:r>
      <w:r>
        <w:t xml:space="preserve"> </w:t>
      </w:r>
      <w:r w:rsidR="00F31F91">
        <w:t>time spans, intended audience / targeted business scenarios etc. are needed, SAML token are the means of choice.</w:t>
      </w:r>
      <w:r>
        <w:t xml:space="preserve"> </w:t>
      </w:r>
      <w:r w:rsidR="00F31F91">
        <w:t>This in addition is state of the</w:t>
      </w:r>
      <w:r w:rsidR="00193606">
        <w:t xml:space="preserve"> art for federated Trust Model solutions.</w:t>
      </w:r>
    </w:p>
    <w:p w:rsidR="00BC395D" w:rsidRDefault="00D16401" w:rsidP="009A757B">
      <w:r>
        <w:t>Building on WS-Trust, WS-Federation</w:t>
      </w:r>
      <w:r w:rsidR="005E0BE2">
        <w:rPr>
          <w:rStyle w:val="Funotenzeichen"/>
        </w:rPr>
        <w:footnoteReference w:id="12"/>
      </w:r>
      <w:r>
        <w:t xml:space="preserve"> identifies a couple of </w:t>
      </w:r>
      <w:r w:rsidR="005E0BE2">
        <w:t>alternate</w:t>
      </w:r>
      <w:r>
        <w:t xml:space="preserve"> </w:t>
      </w:r>
      <w:r w:rsidR="00651C54">
        <w:t>Trust Federation models</w:t>
      </w:r>
      <w:r w:rsidR="005E0BE2">
        <w:t>; aligned with the Trust Use Case depicted in [</w:t>
      </w:r>
      <w:r w:rsidR="005E0BE2">
        <w:fldChar w:fldCharType="begin"/>
      </w:r>
      <w:r w:rsidR="005E0BE2">
        <w:instrText xml:space="preserve"> REF _Ref411435476 \h </w:instrText>
      </w:r>
      <w:r w:rsidR="005E0BE2">
        <w:fldChar w:fldCharType="separate"/>
      </w:r>
      <w:r w:rsidR="005E0BE2" w:rsidRPr="00AC7971">
        <w:rPr>
          <w:b/>
          <w:bCs/>
          <w:i/>
        </w:rPr>
        <w:t xml:space="preserve">Figure </w:t>
      </w:r>
      <w:r w:rsidR="005E0BE2">
        <w:rPr>
          <w:b/>
          <w:bCs/>
          <w:i/>
          <w:noProof/>
        </w:rPr>
        <w:t>6</w:t>
      </w:r>
      <w:r w:rsidR="005E0BE2">
        <w:fldChar w:fldCharType="end"/>
      </w:r>
      <w:r w:rsidR="005E0BE2">
        <w:t>], federation would look like:</w:t>
      </w:r>
    </w:p>
    <w:p w:rsidR="005E0BE2" w:rsidRDefault="005E0BE2" w:rsidP="009A757B">
      <w:r>
        <w:rPr>
          <w:noProof/>
          <w:lang w:eastAsia="en-GB"/>
        </w:rPr>
        <w:drawing>
          <wp:inline distT="0" distB="0" distL="0" distR="0">
            <wp:extent cx="5759450" cy="260413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Broker.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2604135"/>
                    </a:xfrm>
                    <a:prstGeom prst="rect">
                      <a:avLst/>
                    </a:prstGeom>
                  </pic:spPr>
                </pic:pic>
              </a:graphicData>
            </a:graphic>
          </wp:inline>
        </w:drawing>
      </w:r>
    </w:p>
    <w:p w:rsidR="005E0BE2" w:rsidRPr="00AC7971" w:rsidRDefault="005E0BE2" w:rsidP="005E0BE2">
      <w:pPr>
        <w:jc w:val="center"/>
        <w:rPr>
          <w:b/>
          <w:bCs/>
          <w:i/>
        </w:rPr>
      </w:pPr>
      <w:r w:rsidRPr="00AC7971">
        <w:rPr>
          <w:b/>
          <w:bCs/>
          <w:i/>
        </w:rPr>
        <w:t xml:space="preserve">Figure </w:t>
      </w:r>
      <w:r w:rsidRPr="00AC7971">
        <w:rPr>
          <w:b/>
          <w:bCs/>
          <w:i/>
        </w:rPr>
        <w:fldChar w:fldCharType="begin"/>
      </w:r>
      <w:r w:rsidRPr="00AC7971">
        <w:rPr>
          <w:b/>
          <w:bCs/>
          <w:i/>
        </w:rPr>
        <w:instrText xml:space="preserve"> SEQ Figure \* ARABIC </w:instrText>
      </w:r>
      <w:r w:rsidRPr="00AC7971">
        <w:rPr>
          <w:b/>
          <w:bCs/>
          <w:i/>
        </w:rPr>
        <w:fldChar w:fldCharType="separate"/>
      </w:r>
      <w:r>
        <w:rPr>
          <w:b/>
          <w:bCs/>
          <w:i/>
          <w:noProof/>
        </w:rPr>
        <w:t>8</w:t>
      </w:r>
      <w:r w:rsidRPr="00AC7971">
        <w:fldChar w:fldCharType="end"/>
      </w:r>
      <w:r w:rsidRPr="00AC7971">
        <w:rPr>
          <w:b/>
          <w:bCs/>
          <w:i/>
        </w:rPr>
        <w:t xml:space="preserve">: Trust </w:t>
      </w:r>
      <w:r>
        <w:rPr>
          <w:b/>
          <w:bCs/>
          <w:i/>
        </w:rPr>
        <w:t>Brokerage/Federation</w:t>
      </w:r>
    </w:p>
    <w:p w:rsidR="005E0BE2" w:rsidRDefault="005E0BE2" w:rsidP="009A757B">
      <w:proofErr w:type="gramStart"/>
      <w:r>
        <w:t>Note that WS-Trust/WS-Federation, like WS-Security, allow for a wide range of security token types.</w:t>
      </w:r>
      <w:proofErr w:type="gramEnd"/>
      <w:r>
        <w:t xml:space="preserve"> All Tokens (x</w:t>
      </w:r>
      <w:proofErr w:type="gramStart"/>
      <w:r>
        <w:t>)  above</w:t>
      </w:r>
      <w:proofErr w:type="gramEnd"/>
      <w:r>
        <w:t xml:space="preserve"> could just be X509v3-Certificates, too.</w:t>
      </w:r>
    </w:p>
    <w:p w:rsidR="00B52DA6" w:rsidRDefault="005E0BE2" w:rsidP="009A757B">
      <w:r>
        <w:t>Description of flow – Service Requestor (SR) has to authenticate at Service Provider (SP):</w:t>
      </w:r>
    </w:p>
    <w:p w:rsidR="005E0BE2" w:rsidRDefault="005E0BE2" w:rsidP="005E0BE2">
      <w:pPr>
        <w:pStyle w:val="Listenabsatz"/>
        <w:numPr>
          <w:ilvl w:val="0"/>
          <w:numId w:val="29"/>
        </w:numPr>
      </w:pPr>
      <w:proofErr w:type="spellStart"/>
      <w:r>
        <w:t>IdP</w:t>
      </w:r>
      <w:proofErr w:type="spellEnd"/>
      <w:r>
        <w:t xml:space="preserve">/STS A in Trust Domain A issues Token (1) to SR (Note: </w:t>
      </w:r>
      <w:proofErr w:type="spellStart"/>
      <w:r>
        <w:t>IdP</w:t>
      </w:r>
      <w:proofErr w:type="spellEnd"/>
      <w:r>
        <w:t>/STS A could be a CA)</w:t>
      </w:r>
    </w:p>
    <w:p w:rsidR="005E0BE2" w:rsidRDefault="005E0BE2" w:rsidP="005E0BE2">
      <w:pPr>
        <w:pStyle w:val="Listenabsatz"/>
        <w:numPr>
          <w:ilvl w:val="0"/>
          <w:numId w:val="29"/>
        </w:numPr>
      </w:pPr>
      <w:r>
        <w:t xml:space="preserve">Token (1) is presented at Trust Broker A, using </w:t>
      </w:r>
      <w:proofErr w:type="spellStart"/>
      <w:r>
        <w:t>IdP</w:t>
      </w:r>
      <w:proofErr w:type="spellEnd"/>
      <w:r>
        <w:t xml:space="preserve">/STS A’ to validate Token (1), resulting in Token (2). </w:t>
      </w:r>
      <w:proofErr w:type="spellStart"/>
      <w:r>
        <w:t>IdP</w:t>
      </w:r>
      <w:proofErr w:type="spellEnd"/>
      <w:r>
        <w:t xml:space="preserve">/STS A’ trusts tokens issued </w:t>
      </w:r>
      <w:proofErr w:type="gramStart"/>
      <w:r>
        <w:t xml:space="preserve">by  </w:t>
      </w:r>
      <w:proofErr w:type="spellStart"/>
      <w:r>
        <w:t>IdP</w:t>
      </w:r>
      <w:proofErr w:type="spellEnd"/>
      <w:proofErr w:type="gramEnd"/>
      <w:r>
        <w:t>/STS A, or both are just the same instance – depending on setup of domestic Trust Domain A.</w:t>
      </w:r>
    </w:p>
    <w:p w:rsidR="005E0BE2" w:rsidRDefault="005E0BE2" w:rsidP="005E0BE2">
      <w:pPr>
        <w:pStyle w:val="Listenabsatz"/>
        <w:numPr>
          <w:ilvl w:val="0"/>
          <w:numId w:val="29"/>
        </w:numPr>
      </w:pPr>
      <w:r>
        <w:t xml:space="preserve">Token (2) </w:t>
      </w:r>
      <w:r>
        <w:t xml:space="preserve">is presented at Trust Broker </w:t>
      </w:r>
      <w:r>
        <w:t>B</w:t>
      </w:r>
      <w:r>
        <w:t xml:space="preserve">, using </w:t>
      </w:r>
      <w:proofErr w:type="spellStart"/>
      <w:r>
        <w:t>IdP</w:t>
      </w:r>
      <w:proofErr w:type="spellEnd"/>
      <w:r>
        <w:t xml:space="preserve">/STS </w:t>
      </w:r>
      <w:r>
        <w:t>B</w:t>
      </w:r>
      <w:r>
        <w:t>’ to validate Token (</w:t>
      </w:r>
      <w:r>
        <w:t>3</w:t>
      </w:r>
      <w:r>
        <w:t>), resulting in Token (</w:t>
      </w:r>
      <w:r>
        <w:t>3</w:t>
      </w:r>
      <w:r>
        <w:t xml:space="preserve">). </w:t>
      </w:r>
      <w:proofErr w:type="spellStart"/>
      <w:r>
        <w:t>IdP</w:t>
      </w:r>
      <w:proofErr w:type="spellEnd"/>
      <w:r>
        <w:t xml:space="preserve">/STS A’ </w:t>
      </w:r>
      <w:r>
        <w:t xml:space="preserve">and </w:t>
      </w:r>
      <w:proofErr w:type="spellStart"/>
      <w:r>
        <w:t>IdP</w:t>
      </w:r>
      <w:proofErr w:type="spellEnd"/>
      <w:r>
        <w:t>/STS B’</w:t>
      </w:r>
      <w:r>
        <w:t xml:space="preserve"> </w:t>
      </w:r>
      <w:r>
        <w:t xml:space="preserve">are in Trust relationship. </w:t>
      </w:r>
    </w:p>
    <w:p w:rsidR="005E0BE2" w:rsidRDefault="005E0BE2" w:rsidP="005E0BE2">
      <w:pPr>
        <w:pStyle w:val="Listenabsatz"/>
        <w:numPr>
          <w:ilvl w:val="0"/>
          <w:numId w:val="29"/>
        </w:numPr>
      </w:pPr>
      <w:r>
        <w:t>Token (</w:t>
      </w:r>
      <w:r>
        <w:t>3</w:t>
      </w:r>
      <w:r>
        <w:t xml:space="preserve">) is presented at </w:t>
      </w:r>
      <w:r>
        <w:t>Service Provider</w:t>
      </w:r>
      <w:r>
        <w:t xml:space="preserve">, </w:t>
      </w:r>
      <w:r>
        <w:t xml:space="preserve">which may either directly trust tokens issued by </w:t>
      </w:r>
      <w:r>
        <w:t xml:space="preserve"> </w:t>
      </w:r>
      <w:proofErr w:type="spellStart"/>
      <w:r>
        <w:t>IdP</w:t>
      </w:r>
      <w:proofErr w:type="spellEnd"/>
      <w:r>
        <w:t xml:space="preserve">/STS </w:t>
      </w:r>
      <w:r>
        <w:t>B</w:t>
      </w:r>
      <w:r>
        <w:t xml:space="preserve">’ </w:t>
      </w:r>
      <w:r>
        <w:t xml:space="preserve">or involve </w:t>
      </w:r>
      <w:proofErr w:type="spellStart"/>
      <w:r>
        <w:t>IdP</w:t>
      </w:r>
      <w:proofErr w:type="spellEnd"/>
      <w:r>
        <w:t xml:space="preserve">/STS B </w:t>
      </w:r>
      <w:r>
        <w:t>to validate Token (</w:t>
      </w:r>
      <w:r>
        <w:t>3</w:t>
      </w:r>
      <w:r>
        <w:t>)</w:t>
      </w:r>
      <w:r>
        <w:t xml:space="preserve"> - </w:t>
      </w:r>
      <w:r>
        <w:t>depending on setup of domestic Trust Domain A.</w:t>
      </w:r>
      <w:r>
        <w:t xml:space="preserve"> Like for Trust Domain </w:t>
      </w:r>
      <w:proofErr w:type="gramStart"/>
      <w:r>
        <w:t>A</w:t>
      </w:r>
      <w:proofErr w:type="gramEnd"/>
      <w:r>
        <w:t xml:space="preserve">, </w:t>
      </w:r>
      <w:proofErr w:type="spellStart"/>
      <w:r>
        <w:t>IdP</w:t>
      </w:r>
      <w:proofErr w:type="spellEnd"/>
      <w:r>
        <w:t xml:space="preserve">/STS </w:t>
      </w:r>
      <w:r>
        <w:t>B’</w:t>
      </w:r>
      <w:r>
        <w:t xml:space="preserve"> and </w:t>
      </w:r>
      <w:proofErr w:type="spellStart"/>
      <w:r>
        <w:t>IdP</w:t>
      </w:r>
      <w:proofErr w:type="spellEnd"/>
      <w:r>
        <w:t xml:space="preserve">/STS </w:t>
      </w:r>
      <w:r>
        <w:t>B</w:t>
      </w:r>
      <w:r>
        <w:t xml:space="preserve"> </w:t>
      </w:r>
      <w:r>
        <w:t>may be just one instance</w:t>
      </w:r>
      <w:r>
        <w:t>.</w:t>
      </w:r>
    </w:p>
    <w:p w:rsidR="00761652" w:rsidRDefault="00761652" w:rsidP="005E0BE2"/>
    <w:p w:rsidR="00761652" w:rsidRDefault="00761652" w:rsidP="005E0BE2">
      <w:pPr>
        <w:rPr>
          <w:i/>
          <w:highlight w:val="yellow"/>
        </w:rPr>
      </w:pPr>
      <w:r w:rsidRPr="00761652">
        <w:rPr>
          <w:i/>
          <w:highlight w:val="yellow"/>
        </w:rPr>
        <w:t xml:space="preserve">This section still has to be completed: SAML usage as the better fitting token, </w:t>
      </w:r>
      <w:r>
        <w:rPr>
          <w:i/>
          <w:highlight w:val="yellow"/>
        </w:rPr>
        <w:t xml:space="preserve">and option to expose of </w:t>
      </w:r>
      <w:proofErr w:type="spellStart"/>
      <w:r>
        <w:rPr>
          <w:i/>
          <w:highlight w:val="yellow"/>
        </w:rPr>
        <w:t>IdP</w:t>
      </w:r>
      <w:proofErr w:type="spellEnd"/>
      <w:r>
        <w:rPr>
          <w:i/>
          <w:highlight w:val="yellow"/>
        </w:rPr>
        <w:t>/STS above in a Trust List.</w:t>
      </w:r>
    </w:p>
    <w:p w:rsidR="00761652" w:rsidRDefault="00761652" w:rsidP="00761652">
      <w:pPr>
        <w:pStyle w:val="Untertitel"/>
      </w:pPr>
      <w:r>
        <w:lastRenderedPageBreak/>
        <w:t>Evaluation against criteria (Section [</w:t>
      </w:r>
      <w:r>
        <w:fldChar w:fldCharType="begin"/>
      </w:r>
      <w:r>
        <w:instrText xml:space="preserve"> REF _Ref411503947 \r \h  \* MERGEFORMAT </w:instrText>
      </w:r>
      <w:r>
        <w:fldChar w:fldCharType="separate"/>
      </w:r>
      <w:r>
        <w:t>3</w:t>
      </w:r>
      <w:r>
        <w:fldChar w:fldCharType="end"/>
      </w:r>
      <w:r>
        <w:t>]):</w:t>
      </w:r>
    </w:p>
    <w:p w:rsidR="00761652" w:rsidRDefault="00761652" w:rsidP="00761652">
      <w:pPr>
        <w:rPr>
          <w:i/>
        </w:rPr>
      </w:pPr>
      <w:proofErr w:type="spellStart"/>
      <w:proofErr w:type="gramStart"/>
      <w:r w:rsidRPr="00761652">
        <w:rPr>
          <w:i/>
          <w:highlight w:val="yellow"/>
        </w:rPr>
        <w:t>tdb</w:t>
      </w:r>
      <w:proofErr w:type="spellEnd"/>
      <w:proofErr w:type="gramEnd"/>
      <w:r w:rsidRPr="00761652">
        <w:rPr>
          <w:i/>
          <w:highlight w:val="yellow"/>
        </w:rPr>
        <w:t xml:space="preserve"> </w:t>
      </w:r>
    </w:p>
    <w:p w:rsidR="00D74CF2" w:rsidRDefault="00761652" w:rsidP="00761652">
      <w:pPr>
        <w:pStyle w:val="berschrift1"/>
      </w:pPr>
      <w:r>
        <w:lastRenderedPageBreak/>
        <w:t xml:space="preserve"> </w:t>
      </w:r>
      <w:bookmarkStart w:id="22" w:name="_Toc411578963"/>
      <w:r w:rsidR="00D74CF2">
        <w:t>“Big Picture” using Trust Brokers and Trust Lists</w:t>
      </w:r>
      <w:bookmarkEnd w:id="22"/>
    </w:p>
    <w:p w:rsidR="006C1A8C" w:rsidRPr="00AC7971" w:rsidRDefault="006C1A8C" w:rsidP="006C1A8C">
      <w:r w:rsidRPr="00AC7971">
        <w:t xml:space="preserve">An overview of Trust Circle relationship of involved entities is given below. The “Trust Broker” instances depicted conceptual entities, whose functionality </w:t>
      </w:r>
      <w:r w:rsidR="00D74CF2">
        <w:t>may be</w:t>
      </w:r>
      <w:r w:rsidRPr="00AC7971">
        <w:t xml:space="preserve"> realized by different means</w:t>
      </w:r>
      <w:r w:rsidR="00D74CF2">
        <w:t>,</w:t>
      </w:r>
      <w:r w:rsidRPr="00AC7971">
        <w:t xml:space="preserve"> fitting to the needs of concrete distributed electronic transaction types. A Trust Broker covers “Trust Validator” functionality, able to check the existence of a presented digital identity in the underlying trust anchor (Trust List or affiliation to dedicated PKI) and its actual validity. </w:t>
      </w:r>
    </w:p>
    <w:p w:rsidR="006C1A8C" w:rsidRPr="00AC7971" w:rsidRDefault="006C1A8C" w:rsidP="006C1A8C">
      <w:r w:rsidRPr="00AC7971">
        <w:t>Depending on the topology established for a concrete scenario, Trust Broker functionality can</w:t>
      </w:r>
    </w:p>
    <w:p w:rsidR="006C1A8C" w:rsidRPr="00AC7971" w:rsidRDefault="006C1A8C" w:rsidP="006C1A8C">
      <w:pPr>
        <w:numPr>
          <w:ilvl w:val="0"/>
          <w:numId w:val="17"/>
        </w:numPr>
      </w:pPr>
      <w:r w:rsidRPr="00AC7971">
        <w:t xml:space="preserve">directly be allocated to the respective applications used by interacting Service-Requesters  (SR) and Service Providers (SP); </w:t>
      </w:r>
    </w:p>
    <w:p w:rsidR="006C1A8C" w:rsidRPr="00AC7971" w:rsidRDefault="006C1A8C" w:rsidP="006C1A8C">
      <w:pPr>
        <w:numPr>
          <w:ilvl w:val="0"/>
          <w:numId w:val="17"/>
        </w:numPr>
      </w:pPr>
      <w:proofErr w:type="gramStart"/>
      <w:r w:rsidRPr="00AC7971">
        <w:t>or</w:t>
      </w:r>
      <w:proofErr w:type="gramEnd"/>
      <w:r w:rsidRPr="00AC7971">
        <w:t xml:space="preserve"> be</w:t>
      </w:r>
      <w:r w:rsidR="00920E27">
        <w:t>ing</w:t>
      </w:r>
      <w:r w:rsidRPr="00AC7971">
        <w:t xml:space="preserve"> allocated to active intermediary nodes used at respective SR/SP domain boundaries for realizing connectivity and interoperability between different technical infrastructures used in these domains. Such nodes e.g. are e-Delivery / e-Interaction Gateways (from former LSPs also known as Access Points (PEPPOL AP) or National Contact Points (</w:t>
      </w:r>
      <w:proofErr w:type="spellStart"/>
      <w:r w:rsidRPr="00AC7971">
        <w:t>epSOS</w:t>
      </w:r>
      <w:proofErr w:type="spellEnd"/>
      <w:r w:rsidRPr="00AC7971">
        <w:t xml:space="preserve"> NCP).</w:t>
      </w:r>
    </w:p>
    <w:p w:rsidR="006C1A8C" w:rsidRPr="00AC7971" w:rsidRDefault="006C1A8C" w:rsidP="00920E27">
      <w:pPr>
        <w:jc w:val="center"/>
      </w:pPr>
      <w:r w:rsidRPr="00AC7971">
        <w:t>When enabling existing, so far “closed” domains for cross-border/-dom</w:t>
      </w:r>
      <w:r w:rsidR="00920E27">
        <w:t xml:space="preserve">ain connectivity, typically (2) </w:t>
      </w:r>
      <w:r w:rsidRPr="00AC7971">
        <w:t>is the choice, to disburden applications itself by using centralized services/providers of such.</w:t>
      </w:r>
      <w:r w:rsidRPr="00AC7971">
        <w:br w:type="page"/>
      </w:r>
      <w:r w:rsidR="00A958F8">
        <w:rPr>
          <w:noProof/>
          <w:lang w:eastAsia="en-GB"/>
        </w:rPr>
        <w:lastRenderedPageBreak/>
        <w:drawing>
          <wp:inline distT="0" distB="0" distL="0" distR="0" wp14:anchorId="7C3AAD7F" wp14:editId="721ECA42">
            <wp:extent cx="5763260" cy="5292725"/>
            <wp:effectExtent l="0" t="0" r="8890" b="3175"/>
            <wp:docPr id="4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260" cy="5292725"/>
                    </a:xfrm>
                    <a:prstGeom prst="rect">
                      <a:avLst/>
                    </a:prstGeom>
                    <a:noFill/>
                    <a:ln>
                      <a:noFill/>
                    </a:ln>
                  </pic:spPr>
                </pic:pic>
              </a:graphicData>
            </a:graphic>
          </wp:inline>
        </w:drawing>
      </w:r>
    </w:p>
    <w:p w:rsidR="006C1A8C" w:rsidRPr="00AC7971" w:rsidRDefault="006C1A8C" w:rsidP="00D74CF2">
      <w:pPr>
        <w:jc w:val="center"/>
        <w:rPr>
          <w:b/>
          <w:i/>
        </w:rPr>
      </w:pPr>
      <w:r w:rsidRPr="00AC7971">
        <w:rPr>
          <w:b/>
          <w:bCs/>
          <w:i/>
        </w:rPr>
        <w:t xml:space="preserve">Figure </w:t>
      </w:r>
      <w:r w:rsidRPr="00AC7971">
        <w:rPr>
          <w:b/>
          <w:bCs/>
          <w:i/>
        </w:rPr>
        <w:fldChar w:fldCharType="begin"/>
      </w:r>
      <w:r w:rsidRPr="00AC7971">
        <w:rPr>
          <w:b/>
          <w:bCs/>
          <w:i/>
        </w:rPr>
        <w:instrText xml:space="preserve"> SEQ Figure \* ARABIC </w:instrText>
      </w:r>
      <w:r w:rsidRPr="00AC7971">
        <w:rPr>
          <w:b/>
          <w:bCs/>
          <w:i/>
        </w:rPr>
        <w:fldChar w:fldCharType="separate"/>
      </w:r>
      <w:r w:rsidR="00D74CF2">
        <w:rPr>
          <w:b/>
          <w:bCs/>
          <w:i/>
          <w:noProof/>
        </w:rPr>
        <w:t>7</w:t>
      </w:r>
      <w:r w:rsidRPr="00AC7971">
        <w:fldChar w:fldCharType="end"/>
      </w:r>
      <w:r w:rsidRPr="00AC7971">
        <w:rPr>
          <w:b/>
          <w:bCs/>
          <w:i/>
        </w:rPr>
        <w:t>: Cross-Domain/-Border Trust Circle</w:t>
      </w:r>
    </w:p>
    <w:p w:rsidR="006C1A8C" w:rsidRPr="00AC7971" w:rsidRDefault="006C1A8C" w:rsidP="006C1A8C"/>
    <w:p w:rsidR="006C1A8C" w:rsidRPr="007E0F1D" w:rsidRDefault="006C1A8C" w:rsidP="006C1A8C">
      <w:r w:rsidRPr="00AC7971">
        <w:rPr>
          <w:b/>
        </w:rPr>
        <w:t>Note:</w:t>
      </w:r>
      <w:r w:rsidRPr="00AC7971">
        <w:t xml:space="preserve"> Instead of having different Trust Brokers instances per Trust Domain, Domains could agree on one commonly used instance. In this case, the Trust Broker i</w:t>
      </w:r>
      <w:r w:rsidR="0024536B">
        <w:t>s</w:t>
      </w:r>
      <w:r w:rsidRPr="00AC7971">
        <w:t xml:space="preserve"> able to trust and validate all Certificates used for Authentication in all affiliated Domains</w:t>
      </w:r>
      <w:r w:rsidRPr="00AC7971">
        <w:rPr>
          <w:vertAlign w:val="superscript"/>
        </w:rPr>
        <w:footnoteReference w:id="13"/>
      </w:r>
      <w:r w:rsidRPr="00AC7971">
        <w:t>, and all SR’s/SP’s just trust this Trust B</w:t>
      </w:r>
      <w:r w:rsidR="00740833">
        <w:t>roker instance. Authentication v</w:t>
      </w:r>
      <w:r w:rsidRPr="00AC7971">
        <w:t xml:space="preserve">alidation and re-authentication </w:t>
      </w:r>
      <w:r w:rsidR="00D74CF2">
        <w:t>depicted in [</w:t>
      </w:r>
      <w:r w:rsidR="00D74CF2">
        <w:fldChar w:fldCharType="begin"/>
      </w:r>
      <w:r w:rsidR="00D74CF2">
        <w:instrText xml:space="preserve"> REF _Ref411435476 \h </w:instrText>
      </w:r>
      <w:r w:rsidR="00D74CF2">
        <w:fldChar w:fldCharType="separate"/>
      </w:r>
      <w:r w:rsidR="00D74CF2" w:rsidRPr="00AC7971">
        <w:rPr>
          <w:b/>
          <w:bCs/>
          <w:i/>
        </w:rPr>
        <w:t xml:space="preserve">Figure </w:t>
      </w:r>
      <w:r w:rsidR="00D74CF2">
        <w:rPr>
          <w:b/>
          <w:bCs/>
          <w:i/>
          <w:noProof/>
        </w:rPr>
        <w:t>6</w:t>
      </w:r>
      <w:r w:rsidR="00D74CF2">
        <w:fldChar w:fldCharType="end"/>
      </w:r>
      <w:r w:rsidR="00D74CF2">
        <w:t>]</w:t>
      </w:r>
      <w:r w:rsidRPr="00AC7971">
        <w:t xml:space="preserve"> collapse to one single pair of steps.</w:t>
      </w:r>
    </w:p>
    <w:sectPr w:rsidR="006C1A8C" w:rsidRPr="007E0F1D" w:rsidSect="00082032">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6B7" w:rsidRDefault="001176B7">
      <w:r>
        <w:separator/>
      </w:r>
    </w:p>
  </w:endnote>
  <w:endnote w:type="continuationSeparator" w:id="0">
    <w:p w:rsidR="001176B7" w:rsidRDefault="00117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Arial Narrow"/>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70" w:rsidRPr="00C21137" w:rsidRDefault="006F0170" w:rsidP="00C21137">
    <w:pPr>
      <w:pStyle w:val="Fuzeile"/>
      <w:jc w:val="lef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16</w:t>
    </w:r>
    <w:r>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6" w:type="dxa"/>
      <w:tblInd w:w="-176" w:type="dxa"/>
      <w:tblLook w:val="04A0" w:firstRow="1" w:lastRow="0" w:firstColumn="1" w:lastColumn="0" w:noHBand="0" w:noVBand="1"/>
    </w:tblPr>
    <w:tblGrid>
      <w:gridCol w:w="8458"/>
      <w:gridCol w:w="1198"/>
    </w:tblGrid>
    <w:tr w:rsidR="006F0170" w:rsidRPr="00393C89" w:rsidTr="009056CB">
      <w:trPr>
        <w:trHeight w:val="363"/>
      </w:trPr>
      <w:tc>
        <w:tcPr>
          <w:tcW w:w="8458" w:type="dxa"/>
        </w:tcPr>
        <w:p w:rsidR="006F0170" w:rsidRPr="005F2CE2" w:rsidRDefault="006F0170" w:rsidP="00CD4D7B">
          <w:pPr>
            <w:pStyle w:val="Fuzeile"/>
            <w:rPr>
              <w:sz w:val="20"/>
              <w:szCs w:val="20"/>
            </w:rPr>
          </w:pPr>
          <w:r w:rsidRPr="005F2CE2">
            <w:rPr>
              <w:sz w:val="20"/>
              <w:szCs w:val="20"/>
            </w:rPr>
            <w:t xml:space="preserve">e-SENS </w:t>
          </w:r>
          <w:r>
            <w:rPr>
              <w:sz w:val="20"/>
              <w:szCs w:val="20"/>
            </w:rPr>
            <w:t xml:space="preserve">SGCC </w:t>
          </w:r>
          <w:r w:rsidRPr="005F2CE2">
            <w:rPr>
              <w:sz w:val="20"/>
              <w:szCs w:val="20"/>
            </w:rPr>
            <w:t xml:space="preserve">6.3 </w:t>
          </w:r>
          <w:r>
            <w:rPr>
              <w:sz w:val="20"/>
              <w:szCs w:val="20"/>
            </w:rPr>
            <w:t xml:space="preserve">- </w:t>
          </w:r>
          <w:r w:rsidRPr="005F2CE2">
            <w:rPr>
              <w:sz w:val="20"/>
              <w:szCs w:val="20"/>
            </w:rPr>
            <w:t>Trust M</w:t>
          </w:r>
          <w:r>
            <w:rPr>
              <w:sz w:val="20"/>
              <w:szCs w:val="20"/>
            </w:rPr>
            <w:t>od</w:t>
          </w:r>
          <w:r w:rsidRPr="005F2CE2">
            <w:rPr>
              <w:sz w:val="20"/>
              <w:szCs w:val="20"/>
            </w:rPr>
            <w:t>els Whitepaper</w:t>
          </w:r>
        </w:p>
      </w:tc>
      <w:tc>
        <w:tcPr>
          <w:tcW w:w="1198" w:type="dxa"/>
        </w:tcPr>
        <w:p w:rsidR="006F0170" w:rsidRPr="009056CB" w:rsidRDefault="006F0170" w:rsidP="009056CB">
          <w:pPr>
            <w:pStyle w:val="Fuzeile"/>
            <w:jc w:val="right"/>
            <w:rPr>
              <w:sz w:val="20"/>
              <w:szCs w:val="20"/>
              <w:lang w:val="de-DE"/>
            </w:rPr>
          </w:pPr>
          <w:r w:rsidRPr="009056CB">
            <w:rPr>
              <w:sz w:val="20"/>
              <w:szCs w:val="20"/>
              <w:lang w:val="de-DE"/>
            </w:rPr>
            <w:fldChar w:fldCharType="begin"/>
          </w:r>
          <w:r w:rsidRPr="009056CB">
            <w:rPr>
              <w:sz w:val="20"/>
              <w:szCs w:val="20"/>
              <w:lang w:val="de-DE"/>
            </w:rPr>
            <w:instrText>PAGE   \* MERGEFORMAT</w:instrText>
          </w:r>
          <w:r w:rsidRPr="009056CB">
            <w:rPr>
              <w:sz w:val="20"/>
              <w:szCs w:val="20"/>
              <w:lang w:val="de-DE"/>
            </w:rPr>
            <w:fldChar w:fldCharType="separate"/>
          </w:r>
          <w:r w:rsidR="00761652">
            <w:rPr>
              <w:noProof/>
              <w:sz w:val="20"/>
              <w:szCs w:val="20"/>
              <w:lang w:val="de-DE"/>
            </w:rPr>
            <w:t>7</w:t>
          </w:r>
          <w:r w:rsidRPr="009056CB">
            <w:rPr>
              <w:sz w:val="20"/>
              <w:szCs w:val="20"/>
              <w:lang w:val="de-DE"/>
            </w:rPr>
            <w:fldChar w:fldCharType="end"/>
          </w:r>
        </w:p>
      </w:tc>
    </w:tr>
  </w:tbl>
  <w:p w:rsidR="006F0170" w:rsidRPr="00393C89" w:rsidRDefault="006F0170" w:rsidP="00393C89">
    <w:pPr>
      <w:pStyle w:val="Fuzeile"/>
      <w:rPr>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70" w:rsidRPr="00EF29DD" w:rsidRDefault="006F0170">
    <w:pPr>
      <w:pStyle w:val="Fuzeile"/>
      <w:jc w:val="center"/>
      <w:rPr>
        <w:sz w:val="20"/>
        <w:szCs w:val="20"/>
      </w:rPr>
    </w:pPr>
    <w:r w:rsidRPr="00EF29DD">
      <w:rPr>
        <w:sz w:val="20"/>
        <w:szCs w:val="20"/>
      </w:rPr>
      <w:fldChar w:fldCharType="begin"/>
    </w:r>
    <w:r w:rsidRPr="00EF29DD">
      <w:rPr>
        <w:sz w:val="20"/>
        <w:szCs w:val="20"/>
      </w:rPr>
      <w:instrText>PAGE   \* MERGEFORMAT</w:instrText>
    </w:r>
    <w:r w:rsidRPr="00EF29DD">
      <w:rPr>
        <w:sz w:val="20"/>
        <w:szCs w:val="20"/>
      </w:rPr>
      <w:fldChar w:fldCharType="separate"/>
    </w:r>
    <w:r w:rsidRPr="00EF29DD">
      <w:rPr>
        <w:noProof/>
        <w:sz w:val="20"/>
        <w:szCs w:val="20"/>
        <w:lang w:val="de-DE"/>
      </w:rPr>
      <w:t>1</w:t>
    </w:r>
    <w:r w:rsidRPr="00EF29DD">
      <w:rPr>
        <w:sz w:val="20"/>
        <w:szCs w:val="20"/>
      </w:rPr>
      <w:fldChar w:fldCharType="end"/>
    </w:r>
  </w:p>
  <w:p w:rsidR="006F0170" w:rsidRDefault="006F01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6B7" w:rsidRDefault="001176B7">
      <w:r>
        <w:separator/>
      </w:r>
    </w:p>
  </w:footnote>
  <w:footnote w:type="continuationSeparator" w:id="0">
    <w:p w:rsidR="001176B7" w:rsidRDefault="001176B7">
      <w:r>
        <w:continuationSeparator/>
      </w:r>
    </w:p>
  </w:footnote>
  <w:footnote w:id="1">
    <w:p w:rsidR="006F0170" w:rsidRPr="00791ABD" w:rsidRDefault="006F0170" w:rsidP="006C1A8C">
      <w:pPr>
        <w:pStyle w:val="Funotentext"/>
        <w:jc w:val="left"/>
      </w:pPr>
      <w:r>
        <w:rPr>
          <w:rStyle w:val="Funotenzeichen"/>
        </w:rPr>
        <w:footnoteRef/>
      </w:r>
      <w:r>
        <w:t xml:space="preserve">  See Section 3.1.5 “Authentication mechanisms” in </w:t>
      </w:r>
      <w:hyperlink r:id="rId1" w:history="1">
        <w:r w:rsidRPr="002319D3">
          <w:rPr>
            <w:rStyle w:val="Hyperlink"/>
          </w:rPr>
          <w:t>https://www.enisa.europa.eu/activities/identity-and-trust/library/deliverables/trusted-eid/at_download/fullReport</w:t>
        </w:r>
      </w:hyperlink>
      <w:r>
        <w:t xml:space="preserve"> </w:t>
      </w:r>
    </w:p>
  </w:footnote>
  <w:footnote w:id="2">
    <w:p w:rsidR="006F0170" w:rsidRPr="00B510D8" w:rsidRDefault="006F0170" w:rsidP="006C1A8C">
      <w:pPr>
        <w:pStyle w:val="Funotentext"/>
      </w:pPr>
      <w:r>
        <w:rPr>
          <w:rStyle w:val="Funotenzeichen"/>
        </w:rPr>
        <w:footnoteRef/>
      </w:r>
      <w:r>
        <w:t xml:space="preserve"> See </w:t>
      </w:r>
      <w:hyperlink r:id="rId2" w:history="1">
        <w:r w:rsidRPr="009A7918">
          <w:rPr>
            <w:rStyle w:val="Hyperlink"/>
          </w:rPr>
          <w:t>http://docs.oasis-open.org/ws-sx/ws-trust/v1.4/ws-trust.html</w:t>
        </w:r>
      </w:hyperlink>
      <w:r>
        <w:t xml:space="preserve"> for more details</w:t>
      </w:r>
    </w:p>
  </w:footnote>
  <w:footnote w:id="3">
    <w:p w:rsidR="006F0170" w:rsidRPr="00C86C4F" w:rsidRDefault="006F0170" w:rsidP="00924E31">
      <w:pPr>
        <w:pStyle w:val="Funotentext"/>
        <w:jc w:val="left"/>
      </w:pPr>
      <w:r>
        <w:rPr>
          <w:rStyle w:val="Funotenzeichen"/>
        </w:rPr>
        <w:footnoteRef/>
      </w:r>
      <w:r>
        <w:t xml:space="preserve"> See section  8 in </w:t>
      </w:r>
      <w:hyperlink r:id="rId3" w:history="1">
        <w:r w:rsidRPr="009B5EC5">
          <w:rPr>
            <w:rStyle w:val="Hyperlink"/>
          </w:rPr>
          <w:t>http://www.epsos.eu/uploads/tx_epsosfileshare/D3.7.2_SECTION_II_epSOS_Security_Services_01.pdf</w:t>
        </w:r>
      </w:hyperlink>
      <w:r>
        <w:t xml:space="preserve"> </w:t>
      </w:r>
    </w:p>
  </w:footnote>
  <w:footnote w:id="4">
    <w:p w:rsidR="006F0170" w:rsidRPr="001B7FB9" w:rsidRDefault="006F0170" w:rsidP="00A958F8">
      <w:pPr>
        <w:pStyle w:val="Funotentext"/>
        <w:jc w:val="left"/>
        <w:rPr>
          <w:rStyle w:val="Hyperlink"/>
        </w:rPr>
      </w:pPr>
      <w:r>
        <w:rPr>
          <w:rStyle w:val="Funotenzeichen"/>
        </w:rPr>
        <w:footnoteRef/>
      </w:r>
      <w:r>
        <w:t xml:space="preserve"> </w:t>
      </w:r>
      <w:hyperlink r:id="rId4" w:history="1">
        <w:r w:rsidRPr="00595236">
          <w:rPr>
            <w:rStyle w:val="Hyperlink"/>
          </w:rPr>
          <w:t>http://www.projectliberty.org/liberty/content/download/1232/8000/file/liberty-trust-models-guidelines-v1.0.pdf</w:t>
        </w:r>
      </w:hyperlink>
    </w:p>
  </w:footnote>
  <w:footnote w:id="5">
    <w:p w:rsidR="006F0170" w:rsidRPr="004B2913" w:rsidRDefault="006F0170" w:rsidP="006C1A8C">
      <w:pPr>
        <w:pStyle w:val="Funotentext"/>
      </w:pPr>
      <w:r>
        <w:rPr>
          <w:rStyle w:val="Funotenzeichen"/>
        </w:rPr>
        <w:footnoteRef/>
      </w:r>
      <w:r>
        <w:t xml:space="preserve"> </w:t>
      </w:r>
      <w:hyperlink r:id="rId5" w:history="1">
        <w:r w:rsidRPr="005F05F0">
          <w:rPr>
            <w:rStyle w:val="Hyperlink"/>
          </w:rPr>
          <w:t>https://www.oasis-open.org/committees/download.php/6158/sstc-saml-trustmodels-2.0-draft-01.pdf</w:t>
        </w:r>
      </w:hyperlink>
      <w:r>
        <w:t xml:space="preserve"> </w:t>
      </w:r>
    </w:p>
  </w:footnote>
  <w:footnote w:id="6">
    <w:p w:rsidR="006F0170" w:rsidRPr="009F6E13" w:rsidRDefault="006F0170" w:rsidP="00AC7971">
      <w:pPr>
        <w:pStyle w:val="Funotentext"/>
      </w:pPr>
      <w:r>
        <w:rPr>
          <w:rStyle w:val="Funotenzeichen"/>
        </w:rPr>
        <w:footnoteRef/>
      </w:r>
      <w:r w:rsidRPr="009F6E13">
        <w:t xml:space="preserve"> </w:t>
      </w:r>
      <w:r>
        <w:t xml:space="preserve"> </w:t>
      </w:r>
      <w:hyperlink r:id="rId6" w:history="1">
        <w:r w:rsidRPr="005F05F0">
          <w:rPr>
            <w:rStyle w:val="Hyperlink"/>
          </w:rPr>
          <w:t>http://docs.oasis-open.org/ws-sx/ws-trust/200512/ws-trust-1.3-os.html</w:t>
        </w:r>
      </w:hyperlink>
      <w:r>
        <w:t xml:space="preserve"> </w:t>
      </w:r>
    </w:p>
  </w:footnote>
  <w:footnote w:id="7">
    <w:p w:rsidR="006F0170" w:rsidRPr="004F6202" w:rsidRDefault="006F0170">
      <w:pPr>
        <w:pStyle w:val="Funotentext"/>
      </w:pPr>
      <w:r>
        <w:rPr>
          <w:rStyle w:val="Funotenzeichen"/>
        </w:rPr>
        <w:footnoteRef/>
      </w:r>
      <w:r>
        <w:t xml:space="preserve"> For public administration services, some MS impose the use of dedicated national PKIs </w:t>
      </w:r>
    </w:p>
  </w:footnote>
  <w:footnote w:id="8">
    <w:p w:rsidR="006F0170" w:rsidRPr="00447740" w:rsidRDefault="006F0170" w:rsidP="006C1A8C">
      <w:pPr>
        <w:pStyle w:val="Funotentext"/>
      </w:pPr>
      <w:r>
        <w:rPr>
          <w:rStyle w:val="Funotenzeichen"/>
        </w:rPr>
        <w:footnoteRef/>
      </w:r>
      <w:r>
        <w:t xml:space="preserve"> As e.g. XKMS/XKISS-Responders provided by PEPPOL</w:t>
      </w:r>
    </w:p>
  </w:footnote>
  <w:footnote w:id="9">
    <w:p w:rsidR="006F0170" w:rsidRPr="009F6E13" w:rsidRDefault="006F0170" w:rsidP="006C1A8C">
      <w:pPr>
        <w:pStyle w:val="Funotentext"/>
        <w:jc w:val="left"/>
      </w:pPr>
      <w:r>
        <w:rPr>
          <w:rStyle w:val="Funotenzeichen"/>
        </w:rPr>
        <w:footnoteRef/>
      </w:r>
      <w:r w:rsidRPr="009F6E13">
        <w:t xml:space="preserve"> </w:t>
      </w:r>
      <w:r w:rsidRPr="006C1A8C">
        <w:rPr>
          <w:rFonts w:eastAsia="Calibri" w:cs="Arial"/>
          <w:szCs w:val="22"/>
          <w:lang w:val="tr-TR" w:eastAsia="en-GB"/>
        </w:rPr>
        <w:t>Liberty Alliance Project “Liberty Trust Models Guidelines Version 1.0”, Section 2 “Definitions, Taxonomy, and Conceptual Processing Procedure”</w:t>
      </w:r>
      <w:r>
        <w:t>;</w:t>
      </w:r>
      <w:r w:rsidRPr="009F6E13">
        <w:t xml:space="preserve"> </w:t>
      </w:r>
      <w:hyperlink r:id="rId7" w:history="1">
        <w:r w:rsidRPr="00595236">
          <w:rPr>
            <w:rStyle w:val="Hyperlink"/>
          </w:rPr>
          <w:t>http://www.projectliberty.org/liberty/content/download/1232/8000/file/liberty-trust-models-guidelines-v1.0.pdf</w:t>
        </w:r>
      </w:hyperlink>
      <w:r>
        <w:t xml:space="preserve"> </w:t>
      </w:r>
    </w:p>
  </w:footnote>
  <w:footnote w:id="10">
    <w:p w:rsidR="006F0170" w:rsidRPr="0001067A" w:rsidRDefault="006F0170" w:rsidP="007E0F1D">
      <w:pPr>
        <w:pStyle w:val="Funotentext"/>
        <w:jc w:val="left"/>
        <w:rPr>
          <w:lang w:val="fr-FR"/>
        </w:rPr>
      </w:pPr>
      <w:r>
        <w:rPr>
          <w:rStyle w:val="Funotenzeichen"/>
        </w:rPr>
        <w:footnoteRef/>
      </w:r>
      <w:r w:rsidRPr="0001067A">
        <w:rPr>
          <w:lang w:val="fr-FR"/>
        </w:rPr>
        <w:t xml:space="preserve"> ETSI TS 119 612 V1.1.1, (2013-06),  </w:t>
      </w:r>
      <w:hyperlink r:id="rId8" w:history="1">
        <w:r w:rsidRPr="009B5EC5">
          <w:rPr>
            <w:rStyle w:val="Hyperlink"/>
            <w:lang w:val="fr-FR"/>
          </w:rPr>
          <w:t>http://www.etsi.org/deliver/etsi_ts/119600_119699/119612/01.01.01_60/ts_119612v010101p.pdf</w:t>
        </w:r>
      </w:hyperlink>
      <w:r>
        <w:rPr>
          <w:lang w:val="fr-FR"/>
        </w:rPr>
        <w:t xml:space="preserve"> </w:t>
      </w:r>
    </w:p>
  </w:footnote>
  <w:footnote w:id="11">
    <w:p w:rsidR="006F0170" w:rsidRPr="004133F6" w:rsidRDefault="006F0170" w:rsidP="007E0F1D">
      <w:pPr>
        <w:pStyle w:val="Funotentext"/>
      </w:pPr>
      <w:r>
        <w:rPr>
          <w:rStyle w:val="Funotenzeichen"/>
        </w:rPr>
        <w:footnoteRef/>
      </w:r>
      <w:r>
        <w:t xml:space="preserve"> Such TLs already where established and used by other LSPs, e.g. PEPPOL, SPOCS, </w:t>
      </w:r>
      <w:proofErr w:type="spellStart"/>
      <w:r>
        <w:t>epSOS</w:t>
      </w:r>
      <w:proofErr w:type="spellEnd"/>
      <w:r>
        <w:t xml:space="preserve"> </w:t>
      </w:r>
    </w:p>
  </w:footnote>
  <w:footnote w:id="12">
    <w:p w:rsidR="005E0BE2" w:rsidRPr="005E0BE2" w:rsidRDefault="005E0BE2" w:rsidP="005E0BE2">
      <w:pPr>
        <w:pStyle w:val="Funotentext"/>
        <w:jc w:val="left"/>
      </w:pPr>
      <w:r>
        <w:rPr>
          <w:rStyle w:val="Funotenzeichen"/>
        </w:rPr>
        <w:footnoteRef/>
      </w:r>
      <w:r>
        <w:t xml:space="preserve"> OASIS 2009, </w:t>
      </w:r>
      <w:r>
        <w:t>Web Services Federation Language (WS-Federation) Version 1.2</w:t>
      </w:r>
      <w:r>
        <w:t xml:space="preserve"> </w:t>
      </w:r>
      <w:hyperlink r:id="rId9" w:history="1">
        <w:r w:rsidRPr="009D1289">
          <w:rPr>
            <w:rStyle w:val="Hyperlink"/>
          </w:rPr>
          <w:t>http://docs.oasis-open.org/wsfed/federation/v1.2/os/ws-federation-1.2-spec-os.pdf</w:t>
        </w:r>
      </w:hyperlink>
      <w:r>
        <w:t xml:space="preserve"> </w:t>
      </w:r>
    </w:p>
  </w:footnote>
  <w:footnote w:id="13">
    <w:p w:rsidR="006F0170" w:rsidRPr="0092571A" w:rsidRDefault="006F0170" w:rsidP="006C1A8C">
      <w:pPr>
        <w:pStyle w:val="Funotentext"/>
      </w:pPr>
      <w:r>
        <w:rPr>
          <w:rStyle w:val="Funotenzeichen"/>
        </w:rPr>
        <w:footnoteRef/>
      </w:r>
      <w:r>
        <w:t xml:space="preserve"> This could e.g. achieved by a Bridge-CA or Trust List model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70" w:rsidRDefault="006F0170">
    <w:pPr>
      <w:pStyle w:val="Kopfzeile"/>
    </w:pPr>
    <w:r>
      <w:rPr>
        <w:noProof/>
        <w:lang w:eastAsia="en-GB"/>
      </w:rPr>
      <w:drawing>
        <wp:inline distT="0" distB="0" distL="0" distR="0" wp14:anchorId="2CE79F69" wp14:editId="4CDB5490">
          <wp:extent cx="1863725" cy="706755"/>
          <wp:effectExtent l="0" t="0" r="3175" b="0"/>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725" cy="706755"/>
                  </a:xfrm>
                  <a:prstGeom prst="rect">
                    <a:avLst/>
                  </a:prstGeom>
                  <a:noFill/>
                  <a:ln>
                    <a:noFill/>
                  </a:ln>
                </pic:spPr>
              </pic:pic>
            </a:graphicData>
          </a:graphic>
        </wp:inline>
      </w:drawing>
    </w:r>
    <w:r>
      <w:tab/>
    </w:r>
    <w:r>
      <w:tab/>
    </w:r>
    <w:r>
      <w:rPr>
        <w:rFonts w:cs="Arial"/>
        <w:noProof/>
        <w:lang w:eastAsia="en-GB"/>
      </w:rPr>
      <w:drawing>
        <wp:inline distT="0" distB="0" distL="0" distR="0" wp14:anchorId="1547F4DA" wp14:editId="04890F30">
          <wp:extent cx="997585" cy="873125"/>
          <wp:effectExtent l="0" t="0" r="0" b="3175"/>
          <wp:docPr id="4" name="Picture 7" descr="ci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p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7585" cy="8731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70" w:rsidRPr="00CE31AF" w:rsidRDefault="006F0170" w:rsidP="00553ACF">
    <w:pPr>
      <w:pStyle w:val="Kopfzeile"/>
      <w:tabs>
        <w:tab w:val="left" w:pos="4021"/>
      </w:tabs>
      <w:rPr>
        <w:noProof/>
        <w:lang w:val="fr-FR" w:eastAsia="fr-FR"/>
      </w:rPr>
    </w:pPr>
    <w:r>
      <w:rPr>
        <w:noProof/>
        <w:lang w:eastAsia="en-GB"/>
      </w:rPr>
      <w:drawing>
        <wp:inline distT="0" distB="0" distL="0" distR="0" wp14:anchorId="19185C90" wp14:editId="56A3B5A9">
          <wp:extent cx="1870075" cy="699770"/>
          <wp:effectExtent l="0" t="0" r="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0075" cy="699770"/>
                  </a:xfrm>
                  <a:prstGeom prst="rect">
                    <a:avLst/>
                  </a:prstGeom>
                  <a:noFill/>
                  <a:ln>
                    <a:noFill/>
                  </a:ln>
                </pic:spPr>
              </pic:pic>
            </a:graphicData>
          </a:graphic>
        </wp:inline>
      </w:drawing>
    </w:r>
    <w:r>
      <w:tab/>
    </w:r>
    <w:r>
      <w:tab/>
    </w:r>
    <w:r>
      <w:tab/>
    </w:r>
    <w:r>
      <w:rPr>
        <w:noProof/>
        <w:lang w:eastAsia="en-GB"/>
      </w:rPr>
      <w:drawing>
        <wp:inline distT="0" distB="0" distL="0" distR="0" wp14:anchorId="617CFAD2" wp14:editId="12AF2FBF">
          <wp:extent cx="1738630" cy="1122045"/>
          <wp:effectExtent l="0" t="0" r="0" b="1905"/>
          <wp:docPr id="1" name="Bild 6" descr="ICT_PS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_PSP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8630" cy="11220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70" w:rsidRDefault="006F0170">
    <w:pPr>
      <w:pStyle w:val="Kopfzeile"/>
    </w:pPr>
    <w:r>
      <w:rPr>
        <w:noProof/>
        <w:lang w:eastAsia="en-GB"/>
      </w:rPr>
      <w:drawing>
        <wp:inline distT="0" distB="0" distL="0" distR="0" wp14:anchorId="65C7639D" wp14:editId="2D4564D7">
          <wp:extent cx="1863725" cy="706755"/>
          <wp:effectExtent l="0" t="0" r="317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725" cy="706755"/>
                  </a:xfrm>
                  <a:prstGeom prst="rect">
                    <a:avLst/>
                  </a:prstGeom>
                  <a:noFill/>
                  <a:ln>
                    <a:noFill/>
                  </a:ln>
                </pic:spPr>
              </pic:pic>
            </a:graphicData>
          </a:graphic>
        </wp:inline>
      </w:drawing>
    </w:r>
    <w:r>
      <w:tab/>
    </w:r>
    <w:r>
      <w:tab/>
    </w:r>
    <w:r>
      <w:rPr>
        <w:rFonts w:cs="Arial"/>
        <w:noProof/>
        <w:lang w:eastAsia="en-GB"/>
      </w:rPr>
      <w:drawing>
        <wp:inline distT="0" distB="0" distL="0" distR="0" wp14:anchorId="5A3A47AC" wp14:editId="08DC7AD6">
          <wp:extent cx="997585" cy="873125"/>
          <wp:effectExtent l="0" t="0" r="0" b="3175"/>
          <wp:docPr id="8" name="Picture 7" descr="ci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p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7585" cy="873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0CD"/>
    <w:multiLevelType w:val="hybridMultilevel"/>
    <w:tmpl w:val="AB12525C"/>
    <w:lvl w:ilvl="0" w:tplc="04070015">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157BDB"/>
    <w:multiLevelType w:val="hybridMultilevel"/>
    <w:tmpl w:val="9170235E"/>
    <w:lvl w:ilvl="0" w:tplc="481E14DE">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4171970"/>
    <w:multiLevelType w:val="multilevel"/>
    <w:tmpl w:val="7E4A6A7C"/>
    <w:lvl w:ilvl="0">
      <w:start w:val="1"/>
      <w:numFmt w:val="upperRoman"/>
      <w:pStyle w:val="Appendix"/>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AF0B3F"/>
    <w:multiLevelType w:val="hybridMultilevel"/>
    <w:tmpl w:val="B90CA30A"/>
    <w:lvl w:ilvl="0" w:tplc="04070015">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8B110E"/>
    <w:multiLevelType w:val="hybridMultilevel"/>
    <w:tmpl w:val="E5B4AFC8"/>
    <w:lvl w:ilvl="0" w:tplc="0407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9D501D"/>
    <w:multiLevelType w:val="multilevel"/>
    <w:tmpl w:val="F2EA8816"/>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3016"/>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6">
    <w:nsid w:val="0FA323C4"/>
    <w:multiLevelType w:val="multilevel"/>
    <w:tmpl w:val="418AA94A"/>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512"/>
        </w:tabs>
        <w:ind w:left="1872" w:hanging="800"/>
      </w:pPr>
      <w:rPr>
        <w:rFonts w:hint="default"/>
      </w:rPr>
    </w:lvl>
    <w:lvl w:ilvl="5">
      <w:start w:val="1"/>
      <w:numFmt w:val="decimal"/>
      <w:lvlText w:val="%1.%2.%3.%4.%5.%6."/>
      <w:lvlJc w:val="left"/>
      <w:pPr>
        <w:tabs>
          <w:tab w:val="num" w:pos="2869"/>
        </w:tabs>
        <w:ind w:left="2376" w:hanging="947"/>
      </w:pPr>
      <w:rPr>
        <w:rFonts w:hint="default"/>
      </w:rPr>
    </w:lvl>
    <w:lvl w:ilvl="6">
      <w:start w:val="1"/>
      <w:numFmt w:val="decimal"/>
      <w:lvlText w:val="%1.%2.%3.%4.%5.%6.%7."/>
      <w:lvlJc w:val="left"/>
      <w:pPr>
        <w:tabs>
          <w:tab w:val="num" w:pos="2659"/>
        </w:tabs>
        <w:ind w:left="2880" w:hanging="1094"/>
      </w:pPr>
      <w:rPr>
        <w:rFonts w:hint="default"/>
      </w:rPr>
    </w:lvl>
    <w:lvl w:ilvl="7">
      <w:start w:val="1"/>
      <w:numFmt w:val="decimal"/>
      <w:lvlText w:val="%1.%2.%3.%4.%5.%6.%7.%8."/>
      <w:lvlJc w:val="left"/>
      <w:pPr>
        <w:tabs>
          <w:tab w:val="num" w:pos="3016"/>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7">
    <w:nsid w:val="180C4BF4"/>
    <w:multiLevelType w:val="hybridMultilevel"/>
    <w:tmpl w:val="B90CA30A"/>
    <w:lvl w:ilvl="0" w:tplc="04070015">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C55554"/>
    <w:multiLevelType w:val="multilevel"/>
    <w:tmpl w:val="8EACDDC0"/>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4434"/>
        </w:tabs>
        <w:ind w:left="3384" w:hanging="1224"/>
      </w:pPr>
      <w:rPr>
        <w:rFonts w:hint="default"/>
      </w:rPr>
    </w:lvl>
    <w:lvl w:ilvl="8">
      <w:start w:val="1"/>
      <w:numFmt w:val="decimal"/>
      <w:lvlText w:val="%1.%2.%3.%4.%5.%6.%7.%8.%9."/>
      <w:lvlJc w:val="left"/>
      <w:pPr>
        <w:tabs>
          <w:tab w:val="num" w:pos="5075"/>
        </w:tabs>
        <w:ind w:left="3960" w:hanging="1440"/>
      </w:pPr>
      <w:rPr>
        <w:rFonts w:hint="default"/>
      </w:rPr>
    </w:lvl>
  </w:abstractNum>
  <w:abstractNum w:abstractNumId="9">
    <w:nsid w:val="1D2E3001"/>
    <w:multiLevelType w:val="hybridMultilevel"/>
    <w:tmpl w:val="BBAC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966C68"/>
    <w:multiLevelType w:val="hybridMultilevel"/>
    <w:tmpl w:val="4D263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3790EF4"/>
    <w:multiLevelType w:val="hybridMultilevel"/>
    <w:tmpl w:val="D736C4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45919F1"/>
    <w:multiLevelType w:val="multilevel"/>
    <w:tmpl w:val="2684FB5A"/>
    <w:lvl w:ilvl="0">
      <w:start w:val="1"/>
      <w:numFmt w:val="decimal"/>
      <w:pStyle w:val="berschrift1"/>
      <w:lvlText w:val="%1."/>
      <w:lvlJc w:val="left"/>
      <w:pPr>
        <w:tabs>
          <w:tab w:val="num" w:pos="360"/>
        </w:tabs>
        <w:ind w:left="0" w:firstLine="0"/>
      </w:pPr>
      <w:rPr>
        <w:rFonts w:hint="default"/>
      </w:rPr>
    </w:lvl>
    <w:lvl w:ilvl="1">
      <w:start w:val="1"/>
      <w:numFmt w:val="decimal"/>
      <w:pStyle w:val="berschrift2"/>
      <w:lvlText w:val="%1.%2."/>
      <w:lvlJc w:val="left"/>
      <w:pPr>
        <w:tabs>
          <w:tab w:val="num" w:pos="1440"/>
        </w:tabs>
        <w:ind w:left="432" w:hanging="432"/>
      </w:pPr>
      <w:rPr>
        <w:rFonts w:hint="default"/>
      </w:rPr>
    </w:lvl>
    <w:lvl w:ilvl="2">
      <w:start w:val="1"/>
      <w:numFmt w:val="decimal"/>
      <w:pStyle w:val="berschrift3"/>
      <w:lvlText w:val="%1.%2.%3."/>
      <w:lvlJc w:val="left"/>
      <w:pPr>
        <w:tabs>
          <w:tab w:val="num" w:pos="1797"/>
        </w:tabs>
        <w:ind w:left="864" w:hanging="504"/>
      </w:pPr>
      <w:rPr>
        <w:rFonts w:hint="default"/>
      </w:rPr>
    </w:lvl>
    <w:lvl w:ilvl="3">
      <w:start w:val="1"/>
      <w:numFmt w:val="decimal"/>
      <w:pStyle w:val="berschrift4"/>
      <w:lvlText w:val="%1.%2.%3.%4."/>
      <w:lvlJc w:val="left"/>
      <w:pPr>
        <w:tabs>
          <w:tab w:val="num" w:pos="1588"/>
        </w:tabs>
        <w:ind w:left="1368" w:hanging="654"/>
      </w:pPr>
      <w:rPr>
        <w:rFonts w:hint="default"/>
      </w:rPr>
    </w:lvl>
    <w:lvl w:ilvl="4">
      <w:start w:val="1"/>
      <w:numFmt w:val="decimal"/>
      <w:pStyle w:val="berschrift5"/>
      <w:lvlText w:val="%1.%2.%3.%4.%5."/>
      <w:lvlJc w:val="left"/>
      <w:pPr>
        <w:tabs>
          <w:tab w:val="num" w:pos="2795"/>
        </w:tabs>
        <w:ind w:left="1872" w:hanging="800"/>
      </w:pPr>
      <w:rPr>
        <w:rFonts w:hint="default"/>
      </w:rPr>
    </w:lvl>
    <w:lvl w:ilvl="5">
      <w:start w:val="1"/>
      <w:numFmt w:val="decimal"/>
      <w:pStyle w:val="berschrift6"/>
      <w:lvlText w:val="%1.%2.%3.%4.%5.%6."/>
      <w:lvlJc w:val="left"/>
      <w:pPr>
        <w:tabs>
          <w:tab w:val="num" w:pos="3436"/>
        </w:tabs>
        <w:ind w:left="2376" w:hanging="947"/>
      </w:pPr>
      <w:rPr>
        <w:rFonts w:hint="default"/>
      </w:rPr>
    </w:lvl>
    <w:lvl w:ilvl="6">
      <w:start w:val="1"/>
      <w:numFmt w:val="decimal"/>
      <w:pStyle w:val="berschrift7"/>
      <w:lvlText w:val="%1.%2.%3.%4.%5.%6.%7."/>
      <w:lvlJc w:val="left"/>
      <w:pPr>
        <w:tabs>
          <w:tab w:val="num" w:pos="3793"/>
        </w:tabs>
        <w:ind w:left="2880" w:hanging="1094"/>
      </w:pPr>
      <w:rPr>
        <w:rFonts w:hint="default"/>
      </w:rPr>
    </w:lvl>
    <w:lvl w:ilvl="7">
      <w:start w:val="1"/>
      <w:numFmt w:val="decimal"/>
      <w:pStyle w:val="berschrift8"/>
      <w:lvlText w:val="%1.%2.%3.%4.%5.%6.%7.%8."/>
      <w:lvlJc w:val="left"/>
      <w:pPr>
        <w:tabs>
          <w:tab w:val="num" w:pos="4434"/>
        </w:tabs>
        <w:ind w:left="3384" w:hanging="1224"/>
      </w:pPr>
      <w:rPr>
        <w:rFonts w:hint="default"/>
      </w:rPr>
    </w:lvl>
    <w:lvl w:ilvl="8">
      <w:start w:val="1"/>
      <w:numFmt w:val="decimal"/>
      <w:pStyle w:val="berschrift9"/>
      <w:lvlText w:val="%1.%2.%3.%4.%5.%6.%7.%8.%9."/>
      <w:lvlJc w:val="left"/>
      <w:pPr>
        <w:tabs>
          <w:tab w:val="num" w:pos="5075"/>
        </w:tabs>
        <w:ind w:left="3960" w:hanging="1440"/>
      </w:pPr>
      <w:rPr>
        <w:rFonts w:hint="default"/>
      </w:rPr>
    </w:lvl>
  </w:abstractNum>
  <w:abstractNum w:abstractNumId="13">
    <w:nsid w:val="249A6722"/>
    <w:multiLevelType w:val="hybridMultilevel"/>
    <w:tmpl w:val="C0181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B1B6E71"/>
    <w:multiLevelType w:val="hybridMultilevel"/>
    <w:tmpl w:val="56B24B18"/>
    <w:lvl w:ilvl="0" w:tplc="04070001">
      <w:start w:val="1"/>
      <w:numFmt w:val="bullet"/>
      <w:lvlText w:val=""/>
      <w:lvlJc w:val="left"/>
      <w:pPr>
        <w:tabs>
          <w:tab w:val="num" w:pos="720"/>
        </w:tabs>
        <w:ind w:left="720" w:hanging="360"/>
      </w:pPr>
      <w:rPr>
        <w:rFonts w:ascii="Symbol" w:hAnsi="Symbol" w:hint="default"/>
      </w:rPr>
    </w:lvl>
    <w:lvl w:ilvl="1" w:tplc="12DCDF50" w:tentative="1">
      <w:start w:val="1"/>
      <w:numFmt w:val="bullet"/>
      <w:lvlText w:val="•"/>
      <w:lvlJc w:val="left"/>
      <w:pPr>
        <w:tabs>
          <w:tab w:val="num" w:pos="1440"/>
        </w:tabs>
        <w:ind w:left="1440" w:hanging="360"/>
      </w:pPr>
      <w:rPr>
        <w:rFonts w:ascii="Arial" w:hAnsi="Arial" w:hint="default"/>
      </w:rPr>
    </w:lvl>
    <w:lvl w:ilvl="2" w:tplc="BC709C3E" w:tentative="1">
      <w:start w:val="1"/>
      <w:numFmt w:val="bullet"/>
      <w:lvlText w:val="•"/>
      <w:lvlJc w:val="left"/>
      <w:pPr>
        <w:tabs>
          <w:tab w:val="num" w:pos="2160"/>
        </w:tabs>
        <w:ind w:left="2160" w:hanging="360"/>
      </w:pPr>
      <w:rPr>
        <w:rFonts w:ascii="Arial" w:hAnsi="Arial" w:hint="default"/>
      </w:rPr>
    </w:lvl>
    <w:lvl w:ilvl="3" w:tplc="8A8494EE" w:tentative="1">
      <w:start w:val="1"/>
      <w:numFmt w:val="bullet"/>
      <w:lvlText w:val="•"/>
      <w:lvlJc w:val="left"/>
      <w:pPr>
        <w:tabs>
          <w:tab w:val="num" w:pos="2880"/>
        </w:tabs>
        <w:ind w:left="2880" w:hanging="360"/>
      </w:pPr>
      <w:rPr>
        <w:rFonts w:ascii="Arial" w:hAnsi="Arial" w:hint="default"/>
      </w:rPr>
    </w:lvl>
    <w:lvl w:ilvl="4" w:tplc="E5882946" w:tentative="1">
      <w:start w:val="1"/>
      <w:numFmt w:val="bullet"/>
      <w:lvlText w:val="•"/>
      <w:lvlJc w:val="left"/>
      <w:pPr>
        <w:tabs>
          <w:tab w:val="num" w:pos="3600"/>
        </w:tabs>
        <w:ind w:left="3600" w:hanging="360"/>
      </w:pPr>
      <w:rPr>
        <w:rFonts w:ascii="Arial" w:hAnsi="Arial" w:hint="default"/>
      </w:rPr>
    </w:lvl>
    <w:lvl w:ilvl="5" w:tplc="CD00FC2E" w:tentative="1">
      <w:start w:val="1"/>
      <w:numFmt w:val="bullet"/>
      <w:lvlText w:val="•"/>
      <w:lvlJc w:val="left"/>
      <w:pPr>
        <w:tabs>
          <w:tab w:val="num" w:pos="4320"/>
        </w:tabs>
        <w:ind w:left="4320" w:hanging="360"/>
      </w:pPr>
      <w:rPr>
        <w:rFonts w:ascii="Arial" w:hAnsi="Arial" w:hint="default"/>
      </w:rPr>
    </w:lvl>
    <w:lvl w:ilvl="6" w:tplc="0DF25938" w:tentative="1">
      <w:start w:val="1"/>
      <w:numFmt w:val="bullet"/>
      <w:lvlText w:val="•"/>
      <w:lvlJc w:val="left"/>
      <w:pPr>
        <w:tabs>
          <w:tab w:val="num" w:pos="5040"/>
        </w:tabs>
        <w:ind w:left="5040" w:hanging="360"/>
      </w:pPr>
      <w:rPr>
        <w:rFonts w:ascii="Arial" w:hAnsi="Arial" w:hint="default"/>
      </w:rPr>
    </w:lvl>
    <w:lvl w:ilvl="7" w:tplc="33B04060" w:tentative="1">
      <w:start w:val="1"/>
      <w:numFmt w:val="bullet"/>
      <w:lvlText w:val="•"/>
      <w:lvlJc w:val="left"/>
      <w:pPr>
        <w:tabs>
          <w:tab w:val="num" w:pos="5760"/>
        </w:tabs>
        <w:ind w:left="5760" w:hanging="360"/>
      </w:pPr>
      <w:rPr>
        <w:rFonts w:ascii="Arial" w:hAnsi="Arial" w:hint="default"/>
      </w:rPr>
    </w:lvl>
    <w:lvl w:ilvl="8" w:tplc="F5A68D9E" w:tentative="1">
      <w:start w:val="1"/>
      <w:numFmt w:val="bullet"/>
      <w:lvlText w:val="•"/>
      <w:lvlJc w:val="left"/>
      <w:pPr>
        <w:tabs>
          <w:tab w:val="num" w:pos="6480"/>
        </w:tabs>
        <w:ind w:left="6480" w:hanging="360"/>
      </w:pPr>
      <w:rPr>
        <w:rFonts w:ascii="Arial" w:hAnsi="Arial" w:hint="default"/>
      </w:rPr>
    </w:lvl>
  </w:abstractNum>
  <w:abstractNum w:abstractNumId="15">
    <w:nsid w:val="32D96D28"/>
    <w:multiLevelType w:val="multilevel"/>
    <w:tmpl w:val="8A881CF6"/>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4434"/>
        </w:tabs>
        <w:ind w:left="3384" w:hanging="1224"/>
      </w:pPr>
      <w:rPr>
        <w:rFonts w:hint="default"/>
      </w:rPr>
    </w:lvl>
    <w:lvl w:ilvl="8">
      <w:start w:val="1"/>
      <w:numFmt w:val="decimal"/>
      <w:lvlText w:val="%1.%2.%3.%4.%5.%6.%7.%8.%9."/>
      <w:lvlJc w:val="left"/>
      <w:pPr>
        <w:tabs>
          <w:tab w:val="num" w:pos="5075"/>
        </w:tabs>
        <w:ind w:left="3960" w:hanging="1440"/>
      </w:pPr>
      <w:rPr>
        <w:rFonts w:hint="default"/>
      </w:rPr>
    </w:lvl>
  </w:abstractNum>
  <w:abstractNum w:abstractNumId="16">
    <w:nsid w:val="49144C3A"/>
    <w:multiLevelType w:val="hybridMultilevel"/>
    <w:tmpl w:val="398C273A"/>
    <w:lvl w:ilvl="0" w:tplc="04070015">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ED057E"/>
    <w:multiLevelType w:val="multilevel"/>
    <w:tmpl w:val="DB94547A"/>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4434"/>
        </w:tabs>
        <w:ind w:left="3384" w:hanging="1224"/>
      </w:pPr>
      <w:rPr>
        <w:rFonts w:hint="default"/>
      </w:rPr>
    </w:lvl>
    <w:lvl w:ilvl="8">
      <w:start w:val="1"/>
      <w:numFmt w:val="decimal"/>
      <w:lvlText w:val="%1.%2.%3.%4.%5.%6.%7.%8.%9."/>
      <w:lvlJc w:val="left"/>
      <w:pPr>
        <w:tabs>
          <w:tab w:val="num" w:pos="5075"/>
        </w:tabs>
        <w:ind w:left="3960" w:hanging="1440"/>
      </w:pPr>
      <w:rPr>
        <w:rFonts w:hint="default"/>
      </w:rPr>
    </w:lvl>
  </w:abstractNum>
  <w:abstractNum w:abstractNumId="18">
    <w:nsid w:val="4C812F95"/>
    <w:multiLevelType w:val="multilevel"/>
    <w:tmpl w:val="83C6DFA4"/>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4434"/>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19">
    <w:nsid w:val="54A51698"/>
    <w:multiLevelType w:val="multilevel"/>
    <w:tmpl w:val="8DF68306"/>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2869"/>
        </w:tabs>
        <w:ind w:left="2376" w:hanging="947"/>
      </w:pPr>
      <w:rPr>
        <w:rFonts w:hint="default"/>
      </w:rPr>
    </w:lvl>
    <w:lvl w:ilvl="6">
      <w:start w:val="1"/>
      <w:numFmt w:val="decimal"/>
      <w:lvlText w:val="%1.%2.%3.%4.%5.%6.%7."/>
      <w:lvlJc w:val="left"/>
      <w:pPr>
        <w:tabs>
          <w:tab w:val="num" w:pos="2659"/>
        </w:tabs>
        <w:ind w:left="2880" w:hanging="1094"/>
      </w:pPr>
      <w:rPr>
        <w:rFonts w:hint="default"/>
      </w:rPr>
    </w:lvl>
    <w:lvl w:ilvl="7">
      <w:start w:val="1"/>
      <w:numFmt w:val="decimal"/>
      <w:lvlText w:val="%1.%2.%3.%4.%5.%6.%7.%8."/>
      <w:lvlJc w:val="left"/>
      <w:pPr>
        <w:tabs>
          <w:tab w:val="num" w:pos="3016"/>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20">
    <w:nsid w:val="582F5CAC"/>
    <w:multiLevelType w:val="hybridMultilevel"/>
    <w:tmpl w:val="EA5A2D08"/>
    <w:lvl w:ilvl="0" w:tplc="372C09DC">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D325614"/>
    <w:multiLevelType w:val="multilevel"/>
    <w:tmpl w:val="040C8B68"/>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2659"/>
        </w:tabs>
        <w:ind w:left="2880" w:hanging="1094"/>
      </w:pPr>
      <w:rPr>
        <w:rFonts w:hint="default"/>
      </w:rPr>
    </w:lvl>
    <w:lvl w:ilvl="7">
      <w:start w:val="1"/>
      <w:numFmt w:val="decimal"/>
      <w:lvlText w:val="%1.%2.%3.%4.%5.%6.%7.%8."/>
      <w:lvlJc w:val="left"/>
      <w:pPr>
        <w:tabs>
          <w:tab w:val="num" w:pos="3016"/>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22">
    <w:nsid w:val="6E917A2B"/>
    <w:multiLevelType w:val="multilevel"/>
    <w:tmpl w:val="9822FF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0390924"/>
    <w:multiLevelType w:val="hybridMultilevel"/>
    <w:tmpl w:val="D30C0812"/>
    <w:lvl w:ilvl="0" w:tplc="04070015">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4CA3937"/>
    <w:multiLevelType w:val="hybridMultilevel"/>
    <w:tmpl w:val="4D24D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85C44C4"/>
    <w:multiLevelType w:val="hybridMultilevel"/>
    <w:tmpl w:val="63CE4862"/>
    <w:lvl w:ilvl="0" w:tplc="0834368C">
      <w:numFmt w:val="bullet"/>
      <w:lvlText w:val="-"/>
      <w:lvlJc w:val="left"/>
      <w:pPr>
        <w:ind w:left="720" w:hanging="360"/>
      </w:pPr>
      <w:rPr>
        <w:rFonts w:ascii="Calibri" w:eastAsia="Times New Roman" w:hAnsi="Calibri" w:cs="Calibri" w:hint="default"/>
      </w:rPr>
    </w:lvl>
    <w:lvl w:ilvl="1" w:tplc="FB582782" w:tentative="1">
      <w:start w:val="1"/>
      <w:numFmt w:val="bullet"/>
      <w:lvlText w:val="o"/>
      <w:lvlJc w:val="left"/>
      <w:pPr>
        <w:ind w:left="1440" w:hanging="360"/>
      </w:pPr>
      <w:rPr>
        <w:rFonts w:ascii="Courier New" w:hAnsi="Courier New" w:cs="Courier New" w:hint="default"/>
      </w:rPr>
    </w:lvl>
    <w:lvl w:ilvl="2" w:tplc="1ACC45D8" w:tentative="1">
      <w:start w:val="1"/>
      <w:numFmt w:val="bullet"/>
      <w:lvlText w:val=""/>
      <w:lvlJc w:val="left"/>
      <w:pPr>
        <w:ind w:left="2160" w:hanging="360"/>
      </w:pPr>
      <w:rPr>
        <w:rFonts w:ascii="Wingdings" w:hAnsi="Wingdings" w:hint="default"/>
      </w:rPr>
    </w:lvl>
    <w:lvl w:ilvl="3" w:tplc="E25ECED2" w:tentative="1">
      <w:start w:val="1"/>
      <w:numFmt w:val="bullet"/>
      <w:lvlText w:val=""/>
      <w:lvlJc w:val="left"/>
      <w:pPr>
        <w:ind w:left="2880" w:hanging="360"/>
      </w:pPr>
      <w:rPr>
        <w:rFonts w:ascii="Symbol" w:hAnsi="Symbol" w:hint="default"/>
      </w:rPr>
    </w:lvl>
    <w:lvl w:ilvl="4" w:tplc="C2E6A508" w:tentative="1">
      <w:start w:val="1"/>
      <w:numFmt w:val="bullet"/>
      <w:lvlText w:val="o"/>
      <w:lvlJc w:val="left"/>
      <w:pPr>
        <w:ind w:left="3600" w:hanging="360"/>
      </w:pPr>
      <w:rPr>
        <w:rFonts w:ascii="Courier New" w:hAnsi="Courier New" w:cs="Courier New" w:hint="default"/>
      </w:rPr>
    </w:lvl>
    <w:lvl w:ilvl="5" w:tplc="AEB043B8" w:tentative="1">
      <w:start w:val="1"/>
      <w:numFmt w:val="bullet"/>
      <w:lvlText w:val=""/>
      <w:lvlJc w:val="left"/>
      <w:pPr>
        <w:ind w:left="4320" w:hanging="360"/>
      </w:pPr>
      <w:rPr>
        <w:rFonts w:ascii="Wingdings" w:hAnsi="Wingdings" w:hint="default"/>
      </w:rPr>
    </w:lvl>
    <w:lvl w:ilvl="6" w:tplc="4E8A5A42" w:tentative="1">
      <w:start w:val="1"/>
      <w:numFmt w:val="bullet"/>
      <w:lvlText w:val=""/>
      <w:lvlJc w:val="left"/>
      <w:pPr>
        <w:ind w:left="5040" w:hanging="360"/>
      </w:pPr>
      <w:rPr>
        <w:rFonts w:ascii="Symbol" w:hAnsi="Symbol" w:hint="default"/>
      </w:rPr>
    </w:lvl>
    <w:lvl w:ilvl="7" w:tplc="F6C0ED60" w:tentative="1">
      <w:start w:val="1"/>
      <w:numFmt w:val="bullet"/>
      <w:lvlText w:val="o"/>
      <w:lvlJc w:val="left"/>
      <w:pPr>
        <w:ind w:left="5760" w:hanging="360"/>
      </w:pPr>
      <w:rPr>
        <w:rFonts w:ascii="Courier New" w:hAnsi="Courier New" w:cs="Courier New" w:hint="default"/>
      </w:rPr>
    </w:lvl>
    <w:lvl w:ilvl="8" w:tplc="0ACC921E" w:tentative="1">
      <w:start w:val="1"/>
      <w:numFmt w:val="bullet"/>
      <w:lvlText w:val=""/>
      <w:lvlJc w:val="left"/>
      <w:pPr>
        <w:ind w:left="6480" w:hanging="360"/>
      </w:pPr>
      <w:rPr>
        <w:rFonts w:ascii="Wingdings" w:hAnsi="Wingdings" w:hint="default"/>
      </w:rPr>
    </w:lvl>
  </w:abstractNum>
  <w:abstractNum w:abstractNumId="26">
    <w:nsid w:val="7B490026"/>
    <w:multiLevelType w:val="hybridMultilevel"/>
    <w:tmpl w:val="7A0EDFF6"/>
    <w:lvl w:ilvl="0" w:tplc="0809000F">
      <w:start w:val="1"/>
      <w:numFmt w:val="decimal"/>
      <w:lvlText w:val="%1."/>
      <w:lvlJc w:val="left"/>
      <w:pPr>
        <w:ind w:left="720" w:hanging="360"/>
      </w:pPr>
      <w:rPr>
        <w:rFonts w:hint="default"/>
      </w:rPr>
    </w:lvl>
    <w:lvl w:ilvl="1" w:tplc="0414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051613"/>
    <w:multiLevelType w:val="multilevel"/>
    <w:tmpl w:val="2890857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nsid w:val="7D817FF0"/>
    <w:multiLevelType w:val="hybridMultilevel"/>
    <w:tmpl w:val="B90CA30A"/>
    <w:lvl w:ilvl="0" w:tplc="04070015">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5"/>
  </w:num>
  <w:num w:numId="3">
    <w:abstractNumId w:val="8"/>
  </w:num>
  <w:num w:numId="4">
    <w:abstractNumId w:val="6"/>
  </w:num>
  <w:num w:numId="5">
    <w:abstractNumId w:val="19"/>
  </w:num>
  <w:num w:numId="6">
    <w:abstractNumId w:val="21"/>
  </w:num>
  <w:num w:numId="7">
    <w:abstractNumId w:val="5"/>
  </w:num>
  <w:num w:numId="8">
    <w:abstractNumId w:val="18"/>
  </w:num>
  <w:num w:numId="9">
    <w:abstractNumId w:val="15"/>
  </w:num>
  <w:num w:numId="10">
    <w:abstractNumId w:val="17"/>
  </w:num>
  <w:num w:numId="11">
    <w:abstractNumId w:val="12"/>
  </w:num>
  <w:num w:numId="12">
    <w:abstractNumId w:val="13"/>
  </w:num>
  <w:num w:numId="13">
    <w:abstractNumId w:val="1"/>
  </w:num>
  <w:num w:numId="14">
    <w:abstractNumId w:val="12"/>
  </w:num>
  <w:num w:numId="15">
    <w:abstractNumId w:val="9"/>
  </w:num>
  <w:num w:numId="16">
    <w:abstractNumId w:val="10"/>
  </w:num>
  <w:num w:numId="17">
    <w:abstractNumId w:val="0"/>
  </w:num>
  <w:num w:numId="18">
    <w:abstractNumId w:val="11"/>
  </w:num>
  <w:num w:numId="19">
    <w:abstractNumId w:val="24"/>
  </w:num>
  <w:num w:numId="20">
    <w:abstractNumId w:val="22"/>
  </w:num>
  <w:num w:numId="21">
    <w:abstractNumId w:val="14"/>
  </w:num>
  <w:num w:numId="22">
    <w:abstractNumId w:val="27"/>
  </w:num>
  <w:num w:numId="23">
    <w:abstractNumId w:val="20"/>
  </w:num>
  <w:num w:numId="24">
    <w:abstractNumId w:val="26"/>
  </w:num>
  <w:num w:numId="25">
    <w:abstractNumId w:val="4"/>
  </w:num>
  <w:num w:numId="26">
    <w:abstractNumId w:val="28"/>
  </w:num>
  <w:num w:numId="27">
    <w:abstractNumId w:val="3"/>
  </w:num>
  <w:num w:numId="28">
    <w:abstractNumId w:val="7"/>
  </w:num>
  <w:num w:numId="29">
    <w:abstractNumId w:val="2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24"/>
    <w:rsid w:val="00014B45"/>
    <w:rsid w:val="0002398A"/>
    <w:rsid w:val="000427A7"/>
    <w:rsid w:val="000742BE"/>
    <w:rsid w:val="000761FC"/>
    <w:rsid w:val="00082032"/>
    <w:rsid w:val="00085160"/>
    <w:rsid w:val="00086E40"/>
    <w:rsid w:val="00092A0C"/>
    <w:rsid w:val="000977C6"/>
    <w:rsid w:val="000A763D"/>
    <w:rsid w:val="000B0B3F"/>
    <w:rsid w:val="000B46D3"/>
    <w:rsid w:val="000F5247"/>
    <w:rsid w:val="0011136F"/>
    <w:rsid w:val="00116DFC"/>
    <w:rsid w:val="001176B7"/>
    <w:rsid w:val="00135FCF"/>
    <w:rsid w:val="00141BF7"/>
    <w:rsid w:val="00142C85"/>
    <w:rsid w:val="00164B4C"/>
    <w:rsid w:val="00172D3F"/>
    <w:rsid w:val="00173CA8"/>
    <w:rsid w:val="00184D00"/>
    <w:rsid w:val="001858F6"/>
    <w:rsid w:val="00185B66"/>
    <w:rsid w:val="00193606"/>
    <w:rsid w:val="001966C7"/>
    <w:rsid w:val="001B0AE1"/>
    <w:rsid w:val="001D5927"/>
    <w:rsid w:val="0024536B"/>
    <w:rsid w:val="00256515"/>
    <w:rsid w:val="002627EA"/>
    <w:rsid w:val="002965D2"/>
    <w:rsid w:val="002D3E05"/>
    <w:rsid w:val="00301464"/>
    <w:rsid w:val="00315AEB"/>
    <w:rsid w:val="00320C74"/>
    <w:rsid w:val="003213AC"/>
    <w:rsid w:val="00322A5B"/>
    <w:rsid w:val="00342481"/>
    <w:rsid w:val="00357F69"/>
    <w:rsid w:val="003704A5"/>
    <w:rsid w:val="003807B1"/>
    <w:rsid w:val="00393C89"/>
    <w:rsid w:val="003A27AC"/>
    <w:rsid w:val="003B0052"/>
    <w:rsid w:val="003B7692"/>
    <w:rsid w:val="003C0230"/>
    <w:rsid w:val="003D0D62"/>
    <w:rsid w:val="003D2E77"/>
    <w:rsid w:val="003E32F3"/>
    <w:rsid w:val="00420FE5"/>
    <w:rsid w:val="00434510"/>
    <w:rsid w:val="004451C4"/>
    <w:rsid w:val="0045524F"/>
    <w:rsid w:val="0046267E"/>
    <w:rsid w:val="00467455"/>
    <w:rsid w:val="004712AD"/>
    <w:rsid w:val="004717FB"/>
    <w:rsid w:val="004720FC"/>
    <w:rsid w:val="004744CE"/>
    <w:rsid w:val="00493B60"/>
    <w:rsid w:val="004A24B1"/>
    <w:rsid w:val="004A2552"/>
    <w:rsid w:val="004A417C"/>
    <w:rsid w:val="004B435A"/>
    <w:rsid w:val="004B6EEA"/>
    <w:rsid w:val="004E5985"/>
    <w:rsid w:val="004F12E2"/>
    <w:rsid w:val="004F6202"/>
    <w:rsid w:val="005106D4"/>
    <w:rsid w:val="005134DA"/>
    <w:rsid w:val="00523A1C"/>
    <w:rsid w:val="0053012A"/>
    <w:rsid w:val="00543EEF"/>
    <w:rsid w:val="00553ACF"/>
    <w:rsid w:val="00555F2E"/>
    <w:rsid w:val="00566418"/>
    <w:rsid w:val="005743D8"/>
    <w:rsid w:val="005A1385"/>
    <w:rsid w:val="005D29B3"/>
    <w:rsid w:val="005E0BE2"/>
    <w:rsid w:val="005E1E1F"/>
    <w:rsid w:val="005F1E28"/>
    <w:rsid w:val="005F2CE2"/>
    <w:rsid w:val="005F2FC9"/>
    <w:rsid w:val="005F388C"/>
    <w:rsid w:val="00630F6B"/>
    <w:rsid w:val="00651C54"/>
    <w:rsid w:val="006576FC"/>
    <w:rsid w:val="0067792F"/>
    <w:rsid w:val="006900AD"/>
    <w:rsid w:val="006930A0"/>
    <w:rsid w:val="006A3D1B"/>
    <w:rsid w:val="006B109F"/>
    <w:rsid w:val="006B4C60"/>
    <w:rsid w:val="006B5DC4"/>
    <w:rsid w:val="006C1A8C"/>
    <w:rsid w:val="006C2134"/>
    <w:rsid w:val="006D11EF"/>
    <w:rsid w:val="006F0170"/>
    <w:rsid w:val="00740833"/>
    <w:rsid w:val="00741564"/>
    <w:rsid w:val="0075412F"/>
    <w:rsid w:val="007561D6"/>
    <w:rsid w:val="00761652"/>
    <w:rsid w:val="0076495B"/>
    <w:rsid w:val="007768DA"/>
    <w:rsid w:val="00782D90"/>
    <w:rsid w:val="00784C42"/>
    <w:rsid w:val="00785274"/>
    <w:rsid w:val="007912A4"/>
    <w:rsid w:val="0079150E"/>
    <w:rsid w:val="00792F05"/>
    <w:rsid w:val="007A2740"/>
    <w:rsid w:val="007A399F"/>
    <w:rsid w:val="007B39DD"/>
    <w:rsid w:val="007B5D71"/>
    <w:rsid w:val="007D7CAC"/>
    <w:rsid w:val="007E0F1D"/>
    <w:rsid w:val="007E4913"/>
    <w:rsid w:val="007F52D3"/>
    <w:rsid w:val="0080459E"/>
    <w:rsid w:val="00811C46"/>
    <w:rsid w:val="00812558"/>
    <w:rsid w:val="008209DF"/>
    <w:rsid w:val="00826151"/>
    <w:rsid w:val="00840514"/>
    <w:rsid w:val="00860241"/>
    <w:rsid w:val="008703D8"/>
    <w:rsid w:val="00874999"/>
    <w:rsid w:val="008959FD"/>
    <w:rsid w:val="008C274E"/>
    <w:rsid w:val="008D08B2"/>
    <w:rsid w:val="008D4335"/>
    <w:rsid w:val="008D640C"/>
    <w:rsid w:val="008F472F"/>
    <w:rsid w:val="00900C59"/>
    <w:rsid w:val="00902179"/>
    <w:rsid w:val="009056CB"/>
    <w:rsid w:val="00906339"/>
    <w:rsid w:val="00917C2D"/>
    <w:rsid w:val="00920E27"/>
    <w:rsid w:val="00924E31"/>
    <w:rsid w:val="00927719"/>
    <w:rsid w:val="00932E2C"/>
    <w:rsid w:val="00936DCC"/>
    <w:rsid w:val="00944C94"/>
    <w:rsid w:val="0095264C"/>
    <w:rsid w:val="00960111"/>
    <w:rsid w:val="0096782C"/>
    <w:rsid w:val="009728ED"/>
    <w:rsid w:val="00973225"/>
    <w:rsid w:val="00982C54"/>
    <w:rsid w:val="00994E86"/>
    <w:rsid w:val="009A34CF"/>
    <w:rsid w:val="009A70BD"/>
    <w:rsid w:val="009A757B"/>
    <w:rsid w:val="009C2FDC"/>
    <w:rsid w:val="009C32D2"/>
    <w:rsid w:val="009C3DA9"/>
    <w:rsid w:val="009D0665"/>
    <w:rsid w:val="009F7834"/>
    <w:rsid w:val="00A03195"/>
    <w:rsid w:val="00A10732"/>
    <w:rsid w:val="00A116BD"/>
    <w:rsid w:val="00A16BF4"/>
    <w:rsid w:val="00A23D09"/>
    <w:rsid w:val="00A62794"/>
    <w:rsid w:val="00A958F8"/>
    <w:rsid w:val="00A9751C"/>
    <w:rsid w:val="00AA2867"/>
    <w:rsid w:val="00AB379B"/>
    <w:rsid w:val="00AB4591"/>
    <w:rsid w:val="00AC6C16"/>
    <w:rsid w:val="00AC7971"/>
    <w:rsid w:val="00AD069E"/>
    <w:rsid w:val="00AE420B"/>
    <w:rsid w:val="00AF424D"/>
    <w:rsid w:val="00B0620F"/>
    <w:rsid w:val="00B154A6"/>
    <w:rsid w:val="00B3084B"/>
    <w:rsid w:val="00B330A5"/>
    <w:rsid w:val="00B34DC1"/>
    <w:rsid w:val="00B40CFE"/>
    <w:rsid w:val="00B52DA6"/>
    <w:rsid w:val="00B65700"/>
    <w:rsid w:val="00B82EA5"/>
    <w:rsid w:val="00B84924"/>
    <w:rsid w:val="00B9705E"/>
    <w:rsid w:val="00BA6D08"/>
    <w:rsid w:val="00BB32A8"/>
    <w:rsid w:val="00BC395D"/>
    <w:rsid w:val="00BC7A0C"/>
    <w:rsid w:val="00BD179A"/>
    <w:rsid w:val="00BD4824"/>
    <w:rsid w:val="00BD4E9D"/>
    <w:rsid w:val="00BD6791"/>
    <w:rsid w:val="00BE5008"/>
    <w:rsid w:val="00BF2D87"/>
    <w:rsid w:val="00BF3DB7"/>
    <w:rsid w:val="00BF41D9"/>
    <w:rsid w:val="00C00A8C"/>
    <w:rsid w:val="00C051C7"/>
    <w:rsid w:val="00C21137"/>
    <w:rsid w:val="00C23E1C"/>
    <w:rsid w:val="00C350F7"/>
    <w:rsid w:val="00C453DA"/>
    <w:rsid w:val="00C706B6"/>
    <w:rsid w:val="00C86C4F"/>
    <w:rsid w:val="00C87877"/>
    <w:rsid w:val="00CA164D"/>
    <w:rsid w:val="00CA5D0C"/>
    <w:rsid w:val="00CA64EB"/>
    <w:rsid w:val="00CC02C7"/>
    <w:rsid w:val="00CD4D7B"/>
    <w:rsid w:val="00CD67E2"/>
    <w:rsid w:val="00CE31AF"/>
    <w:rsid w:val="00D031EF"/>
    <w:rsid w:val="00D11E52"/>
    <w:rsid w:val="00D16401"/>
    <w:rsid w:val="00D2468A"/>
    <w:rsid w:val="00D32BCB"/>
    <w:rsid w:val="00D43C2A"/>
    <w:rsid w:val="00D46790"/>
    <w:rsid w:val="00D51D26"/>
    <w:rsid w:val="00D55597"/>
    <w:rsid w:val="00D570C2"/>
    <w:rsid w:val="00D723EF"/>
    <w:rsid w:val="00D74CF2"/>
    <w:rsid w:val="00D97970"/>
    <w:rsid w:val="00DA5622"/>
    <w:rsid w:val="00DD5E57"/>
    <w:rsid w:val="00DF10F5"/>
    <w:rsid w:val="00E13072"/>
    <w:rsid w:val="00E14BAB"/>
    <w:rsid w:val="00E209B5"/>
    <w:rsid w:val="00E22C7F"/>
    <w:rsid w:val="00E2399E"/>
    <w:rsid w:val="00E32008"/>
    <w:rsid w:val="00E45565"/>
    <w:rsid w:val="00E64229"/>
    <w:rsid w:val="00E94685"/>
    <w:rsid w:val="00EA4577"/>
    <w:rsid w:val="00EA62B8"/>
    <w:rsid w:val="00EB03AF"/>
    <w:rsid w:val="00EC1F0C"/>
    <w:rsid w:val="00EC5CF0"/>
    <w:rsid w:val="00EC62AF"/>
    <w:rsid w:val="00EF29DD"/>
    <w:rsid w:val="00F00259"/>
    <w:rsid w:val="00F01C84"/>
    <w:rsid w:val="00F12987"/>
    <w:rsid w:val="00F20D3C"/>
    <w:rsid w:val="00F31F91"/>
    <w:rsid w:val="00F6313F"/>
    <w:rsid w:val="00F6417A"/>
    <w:rsid w:val="00F75468"/>
    <w:rsid w:val="00F83E9B"/>
    <w:rsid w:val="00F912A6"/>
    <w:rsid w:val="00F96304"/>
    <w:rsid w:val="00FA65E1"/>
    <w:rsid w:val="00FB7E86"/>
    <w:rsid w:val="00FD2193"/>
    <w:rsid w:val="00FE4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06339"/>
    <w:pPr>
      <w:spacing w:after="60"/>
      <w:jc w:val="both"/>
    </w:pPr>
    <w:rPr>
      <w:rFonts w:ascii="Calibri" w:hAnsi="Calibri"/>
      <w:sz w:val="22"/>
      <w:szCs w:val="24"/>
      <w:lang w:eastAsia="en-US"/>
    </w:rPr>
  </w:style>
  <w:style w:type="paragraph" w:styleId="berschrift1">
    <w:name w:val="heading 1"/>
    <w:basedOn w:val="Standard"/>
    <w:next w:val="Standard"/>
    <w:link w:val="berschrift1Zchn"/>
    <w:qFormat/>
    <w:rsid w:val="002D3E05"/>
    <w:pPr>
      <w:keepNext/>
      <w:keepLines/>
      <w:pageBreakBefore/>
      <w:numPr>
        <w:numId w:val="11"/>
      </w:numPr>
      <w:spacing w:before="480" w:after="0"/>
      <w:outlineLvl w:val="0"/>
    </w:pPr>
    <w:rPr>
      <w:b/>
      <w:bCs/>
      <w:color w:val="17365D"/>
      <w:sz w:val="36"/>
      <w:szCs w:val="28"/>
    </w:rPr>
  </w:style>
  <w:style w:type="paragraph" w:styleId="berschrift2">
    <w:name w:val="heading 2"/>
    <w:basedOn w:val="Standard"/>
    <w:next w:val="Standard"/>
    <w:link w:val="berschrift2Zchn"/>
    <w:autoRedefine/>
    <w:qFormat/>
    <w:rsid w:val="00AC7971"/>
    <w:pPr>
      <w:keepNext/>
      <w:numPr>
        <w:ilvl w:val="1"/>
        <w:numId w:val="11"/>
      </w:numPr>
      <w:tabs>
        <w:tab w:val="clear" w:pos="1440"/>
        <w:tab w:val="num" w:pos="851"/>
      </w:tabs>
      <w:spacing w:before="240"/>
      <w:jc w:val="left"/>
      <w:outlineLvl w:val="1"/>
    </w:pPr>
    <w:rPr>
      <w:rFonts w:ascii="Georgia" w:hAnsi="Georgia"/>
      <w:bCs/>
      <w:iCs/>
      <w:color w:val="17365D"/>
      <w:sz w:val="28"/>
      <w:szCs w:val="28"/>
      <w:lang w:eastAsia="x-none"/>
    </w:rPr>
  </w:style>
  <w:style w:type="paragraph" w:styleId="berschrift3">
    <w:name w:val="heading 3"/>
    <w:basedOn w:val="berschrift2"/>
    <w:next w:val="Standard"/>
    <w:link w:val="berschrift3Zchn"/>
    <w:autoRedefine/>
    <w:qFormat/>
    <w:rsid w:val="00D46790"/>
    <w:pPr>
      <w:numPr>
        <w:ilvl w:val="2"/>
      </w:numPr>
      <w:tabs>
        <w:tab w:val="clear" w:pos="1797"/>
        <w:tab w:val="num" w:pos="900"/>
      </w:tabs>
      <w:ind w:left="0" w:firstLine="0"/>
      <w:outlineLvl w:val="2"/>
    </w:pPr>
    <w:rPr>
      <w:iCs w:val="0"/>
      <w:szCs w:val="26"/>
    </w:rPr>
  </w:style>
  <w:style w:type="paragraph" w:styleId="berschrift4">
    <w:name w:val="heading 4"/>
    <w:basedOn w:val="berschrift3"/>
    <w:next w:val="Standard"/>
    <w:qFormat/>
    <w:rsid w:val="00116DFC"/>
    <w:pPr>
      <w:numPr>
        <w:ilvl w:val="3"/>
      </w:numPr>
      <w:tabs>
        <w:tab w:val="clear" w:pos="1588"/>
        <w:tab w:val="num" w:pos="1080"/>
      </w:tabs>
      <w:ind w:left="0" w:firstLine="0"/>
      <w:outlineLvl w:val="3"/>
    </w:pPr>
    <w:rPr>
      <w:szCs w:val="28"/>
      <w:lang w:val="de-DE"/>
    </w:rPr>
  </w:style>
  <w:style w:type="paragraph" w:styleId="berschrift5">
    <w:name w:val="heading 5"/>
    <w:basedOn w:val="berschrift4"/>
    <w:next w:val="Standard"/>
    <w:autoRedefine/>
    <w:qFormat/>
    <w:rsid w:val="00116DFC"/>
    <w:pPr>
      <w:numPr>
        <w:ilvl w:val="4"/>
      </w:numPr>
      <w:tabs>
        <w:tab w:val="clear" w:pos="2795"/>
        <w:tab w:val="num" w:pos="1260"/>
      </w:tabs>
      <w:ind w:left="0" w:firstLine="0"/>
      <w:outlineLvl w:val="4"/>
    </w:pPr>
  </w:style>
  <w:style w:type="paragraph" w:styleId="berschrift6">
    <w:name w:val="heading 6"/>
    <w:basedOn w:val="berschrift5"/>
    <w:next w:val="Standard"/>
    <w:autoRedefine/>
    <w:qFormat/>
    <w:rsid w:val="00EC1F0C"/>
    <w:pPr>
      <w:numPr>
        <w:ilvl w:val="5"/>
      </w:numPr>
      <w:tabs>
        <w:tab w:val="clear" w:pos="3436"/>
        <w:tab w:val="num" w:pos="1620"/>
      </w:tabs>
      <w:ind w:left="0" w:firstLine="0"/>
      <w:outlineLvl w:val="5"/>
    </w:pPr>
  </w:style>
  <w:style w:type="paragraph" w:styleId="berschrift7">
    <w:name w:val="heading 7"/>
    <w:basedOn w:val="berschrift6"/>
    <w:next w:val="Standard"/>
    <w:autoRedefine/>
    <w:qFormat/>
    <w:rsid w:val="000F5247"/>
    <w:pPr>
      <w:keepNext w:val="0"/>
      <w:numPr>
        <w:ilvl w:val="6"/>
      </w:numPr>
      <w:tabs>
        <w:tab w:val="clear" w:pos="3793"/>
        <w:tab w:val="num" w:pos="1800"/>
      </w:tabs>
      <w:ind w:left="0" w:firstLine="0"/>
      <w:outlineLvl w:val="6"/>
    </w:pPr>
  </w:style>
  <w:style w:type="paragraph" w:styleId="berschrift8">
    <w:name w:val="heading 8"/>
    <w:basedOn w:val="berschrift7"/>
    <w:next w:val="Standard"/>
    <w:autoRedefine/>
    <w:qFormat/>
    <w:rsid w:val="000742BE"/>
    <w:pPr>
      <w:numPr>
        <w:ilvl w:val="7"/>
      </w:numPr>
      <w:tabs>
        <w:tab w:val="clear" w:pos="4434"/>
        <w:tab w:val="num" w:pos="1980"/>
      </w:tabs>
      <w:ind w:left="0" w:firstLine="0"/>
      <w:outlineLvl w:val="7"/>
    </w:pPr>
  </w:style>
  <w:style w:type="paragraph" w:styleId="berschrift9">
    <w:name w:val="heading 9"/>
    <w:basedOn w:val="berschrift8"/>
    <w:next w:val="Standard"/>
    <w:qFormat/>
    <w:rsid w:val="000742BE"/>
    <w:pPr>
      <w:numPr>
        <w:ilvl w:val="8"/>
      </w:numPr>
      <w:tabs>
        <w:tab w:val="left" w:pos="2160"/>
      </w:tabs>
      <w:ind w:left="0" w:firstLine="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F7834"/>
    <w:pPr>
      <w:tabs>
        <w:tab w:val="center" w:pos="4536"/>
        <w:tab w:val="right" w:pos="9072"/>
      </w:tabs>
    </w:pPr>
  </w:style>
  <w:style w:type="paragraph" w:styleId="Fuzeile">
    <w:name w:val="footer"/>
    <w:basedOn w:val="Standard"/>
    <w:link w:val="FuzeileZchn"/>
    <w:uiPriority w:val="99"/>
    <w:rsid w:val="009F7834"/>
    <w:pPr>
      <w:tabs>
        <w:tab w:val="center" w:pos="4536"/>
        <w:tab w:val="right" w:pos="9072"/>
      </w:tabs>
    </w:pPr>
  </w:style>
  <w:style w:type="character" w:customStyle="1" w:styleId="FuzeileZchn">
    <w:name w:val="Fußzeile Zchn"/>
    <w:link w:val="Fuzeile"/>
    <w:uiPriority w:val="99"/>
    <w:rsid w:val="009F7834"/>
    <w:rPr>
      <w:rFonts w:ascii="Calibri" w:hAnsi="Calibri"/>
      <w:sz w:val="22"/>
      <w:szCs w:val="24"/>
      <w:lang w:val="en-GB" w:eastAsia="en-US" w:bidi="ar-SA"/>
    </w:rPr>
  </w:style>
  <w:style w:type="paragraph" w:customStyle="1" w:styleId="DocumentTitle">
    <w:name w:val="Document Title"/>
    <w:rsid w:val="00906339"/>
    <w:pPr>
      <w:keepNext/>
      <w:keepLines/>
      <w:pBdr>
        <w:top w:val="single" w:sz="30" w:space="15" w:color="0000FF"/>
        <w:bottom w:val="single" w:sz="30" w:space="15" w:color="0000FF"/>
      </w:pBdr>
      <w:spacing w:before="240"/>
      <w:jc w:val="center"/>
    </w:pPr>
    <w:rPr>
      <w:b/>
      <w:sz w:val="40"/>
      <w:lang w:eastAsia="en-US"/>
    </w:rPr>
  </w:style>
  <w:style w:type="paragraph" w:styleId="Verzeichnis1">
    <w:name w:val="toc 1"/>
    <w:basedOn w:val="Standard"/>
    <w:next w:val="Standard"/>
    <w:uiPriority w:val="39"/>
    <w:qFormat/>
    <w:rsid w:val="00630F6B"/>
    <w:pPr>
      <w:jc w:val="left"/>
    </w:pPr>
    <w:rPr>
      <w:b/>
      <w:bCs/>
      <w:caps/>
    </w:rPr>
  </w:style>
  <w:style w:type="paragraph" w:styleId="Verzeichnis2">
    <w:name w:val="toc 2"/>
    <w:basedOn w:val="Standard"/>
    <w:next w:val="Standard"/>
    <w:uiPriority w:val="39"/>
    <w:qFormat/>
    <w:rsid w:val="00630F6B"/>
    <w:pPr>
      <w:ind w:left="240"/>
      <w:jc w:val="left"/>
    </w:pPr>
    <w:rPr>
      <w:smallCaps/>
    </w:rPr>
  </w:style>
  <w:style w:type="paragraph" w:styleId="Verzeichnis3">
    <w:name w:val="toc 3"/>
    <w:basedOn w:val="Standard"/>
    <w:next w:val="Standard"/>
    <w:uiPriority w:val="39"/>
    <w:qFormat/>
    <w:rsid w:val="00630F6B"/>
    <w:pPr>
      <w:ind w:left="480"/>
      <w:jc w:val="left"/>
    </w:pPr>
    <w:rPr>
      <w:iCs/>
      <w:smallCaps/>
    </w:rPr>
  </w:style>
  <w:style w:type="paragraph" w:styleId="Titel">
    <w:name w:val="Title"/>
    <w:basedOn w:val="Standard"/>
    <w:link w:val="TitelZchn"/>
    <w:qFormat/>
    <w:rsid w:val="002D3E05"/>
    <w:pPr>
      <w:widowControl w:val="0"/>
      <w:jc w:val="center"/>
    </w:pPr>
    <w:rPr>
      <w:b/>
      <w:bCs/>
      <w:color w:val="17365D"/>
      <w:sz w:val="28"/>
    </w:rPr>
  </w:style>
  <w:style w:type="character" w:customStyle="1" w:styleId="TitelZchn">
    <w:name w:val="Titel Zchn"/>
    <w:link w:val="Titel"/>
    <w:rsid w:val="002D3E05"/>
    <w:rPr>
      <w:rFonts w:ascii="Calibri" w:hAnsi="Calibri"/>
      <w:b/>
      <w:bCs/>
      <w:color w:val="17365D"/>
      <w:sz w:val="28"/>
      <w:szCs w:val="24"/>
      <w:lang w:val="en-GB" w:eastAsia="en-US"/>
    </w:rPr>
  </w:style>
  <w:style w:type="character" w:customStyle="1" w:styleId="KopfzeileZchn">
    <w:name w:val="Kopfzeile Zchn"/>
    <w:link w:val="Kopfzeile"/>
    <w:rsid w:val="00FD2193"/>
    <w:rPr>
      <w:rFonts w:ascii="Calibri" w:hAnsi="Calibri"/>
      <w:sz w:val="22"/>
      <w:szCs w:val="24"/>
      <w:lang w:val="en-GB" w:eastAsia="en-US" w:bidi="ar-SA"/>
    </w:rPr>
  </w:style>
  <w:style w:type="character" w:styleId="Hyperlink">
    <w:name w:val="Hyperlink"/>
    <w:uiPriority w:val="99"/>
    <w:rsid w:val="00906339"/>
    <w:rPr>
      <w:color w:val="0000FF"/>
      <w:sz w:val="20"/>
      <w:u w:val="single"/>
    </w:rPr>
  </w:style>
  <w:style w:type="character" w:customStyle="1" w:styleId="berschrift1Zchn">
    <w:name w:val="Überschrift 1 Zchn"/>
    <w:link w:val="berschrift1"/>
    <w:rsid w:val="002D3E05"/>
    <w:rPr>
      <w:rFonts w:ascii="Calibri" w:hAnsi="Calibri"/>
      <w:b/>
      <w:bCs/>
      <w:color w:val="17365D"/>
      <w:sz w:val="36"/>
      <w:szCs w:val="28"/>
      <w:lang w:val="en-GB" w:eastAsia="en-US"/>
    </w:rPr>
  </w:style>
  <w:style w:type="character" w:customStyle="1" w:styleId="berschrift2Zchn">
    <w:name w:val="Überschrift 2 Zchn"/>
    <w:link w:val="berschrift2"/>
    <w:rsid w:val="00AC7971"/>
    <w:rPr>
      <w:rFonts w:ascii="Georgia" w:hAnsi="Georgia"/>
      <w:bCs/>
      <w:iCs/>
      <w:color w:val="17365D"/>
      <w:sz w:val="28"/>
      <w:szCs w:val="28"/>
      <w:lang w:eastAsia="x-none"/>
    </w:rPr>
  </w:style>
  <w:style w:type="character" w:customStyle="1" w:styleId="berschrift3Zchn">
    <w:name w:val="Überschrift 3 Zchn"/>
    <w:link w:val="berschrift3"/>
    <w:rsid w:val="00D46790"/>
    <w:rPr>
      <w:rFonts w:ascii="Georgia" w:hAnsi="Georgia"/>
      <w:bCs/>
      <w:color w:val="17365D"/>
      <w:sz w:val="28"/>
      <w:szCs w:val="26"/>
      <w:lang w:val="en-GB" w:eastAsia="x-none"/>
    </w:rPr>
  </w:style>
  <w:style w:type="paragraph" w:customStyle="1" w:styleId="Heading1Unumbered">
    <w:name w:val="Heading 1 Unumbered"/>
    <w:basedOn w:val="berschrift1"/>
    <w:next w:val="Standard"/>
    <w:rsid w:val="005E1E1F"/>
    <w:pPr>
      <w:numPr>
        <w:numId w:val="0"/>
      </w:numPr>
      <w:spacing w:after="280"/>
    </w:pPr>
    <w:rPr>
      <w:color w:val="0070C0"/>
    </w:rPr>
  </w:style>
  <w:style w:type="paragraph" w:styleId="Beschriftung">
    <w:name w:val="caption"/>
    <w:basedOn w:val="Standard"/>
    <w:next w:val="Standard"/>
    <w:uiPriority w:val="35"/>
    <w:qFormat/>
    <w:rsid w:val="008F472F"/>
    <w:pPr>
      <w:spacing w:before="120"/>
      <w:jc w:val="center"/>
    </w:pPr>
    <w:rPr>
      <w:b/>
      <w:bCs/>
      <w:i/>
      <w:sz w:val="18"/>
      <w:szCs w:val="20"/>
    </w:rPr>
  </w:style>
  <w:style w:type="paragraph" w:customStyle="1" w:styleId="Appendix">
    <w:name w:val="Appendix"/>
    <w:basedOn w:val="Standard"/>
    <w:next w:val="Standard"/>
    <w:rsid w:val="001D5927"/>
    <w:pPr>
      <w:keepNext/>
      <w:keepLines/>
      <w:pageBreakBefore/>
      <w:numPr>
        <w:numId w:val="1"/>
      </w:numPr>
      <w:spacing w:after="240"/>
      <w:outlineLvl w:val="0"/>
    </w:pPr>
    <w:rPr>
      <w:rFonts w:cs="Calibri"/>
      <w:b/>
      <w:bCs/>
      <w:color w:val="0070C0"/>
      <w:kern w:val="32"/>
      <w:sz w:val="32"/>
      <w:szCs w:val="20"/>
    </w:rPr>
  </w:style>
  <w:style w:type="paragraph" w:styleId="Abbildungsverzeichnis">
    <w:name w:val="table of figures"/>
    <w:basedOn w:val="Standard"/>
    <w:next w:val="Standard"/>
    <w:uiPriority w:val="99"/>
    <w:rsid w:val="00E22C7F"/>
  </w:style>
  <w:style w:type="paragraph" w:styleId="Sprechblasentext">
    <w:name w:val="Balloon Text"/>
    <w:basedOn w:val="Standard"/>
    <w:link w:val="SprechblasentextZchn"/>
    <w:rsid w:val="00EF29DD"/>
    <w:pPr>
      <w:spacing w:after="0"/>
    </w:pPr>
    <w:rPr>
      <w:rFonts w:ascii="Tahoma" w:hAnsi="Tahoma"/>
      <w:sz w:val="16"/>
      <w:szCs w:val="16"/>
    </w:rPr>
  </w:style>
  <w:style w:type="character" w:customStyle="1" w:styleId="SprechblasentextZchn">
    <w:name w:val="Sprechblasentext Zchn"/>
    <w:link w:val="Sprechblasentext"/>
    <w:rsid w:val="00EF29DD"/>
    <w:rPr>
      <w:rFonts w:ascii="Tahoma" w:hAnsi="Tahoma" w:cs="Tahoma"/>
      <w:sz w:val="16"/>
      <w:szCs w:val="16"/>
      <w:lang w:val="en-GB" w:eastAsia="en-US"/>
    </w:rPr>
  </w:style>
  <w:style w:type="paragraph" w:styleId="Funotentext">
    <w:name w:val="footnote text"/>
    <w:aliases w:val="Schriftart: 9 pt,Schriftart: 10 pt,Schriftart: 8 pt,WB-Fußnotentext,fn,Footnotes,Footnote ak,Footnote,Footnote text"/>
    <w:basedOn w:val="Standard"/>
    <w:link w:val="FunotentextZchn"/>
    <w:rsid w:val="00141BF7"/>
    <w:rPr>
      <w:sz w:val="20"/>
      <w:szCs w:val="20"/>
    </w:rPr>
  </w:style>
  <w:style w:type="character" w:customStyle="1" w:styleId="FunotentextZchn">
    <w:name w:val="Fußnotentext Zchn"/>
    <w:aliases w:val="Schriftart: 9 pt Zchn,Schriftart: 10 pt Zchn,Schriftart: 8 pt Zchn,WB-Fußnotentext Zchn,fn Zchn,Footnotes Zchn,Footnote ak Zchn,Footnote Zchn,Footnote text Zchn"/>
    <w:link w:val="Funotentext"/>
    <w:rsid w:val="00141BF7"/>
    <w:rPr>
      <w:rFonts w:ascii="Calibri" w:hAnsi="Calibri"/>
      <w:lang w:val="en-GB" w:eastAsia="en-US"/>
    </w:rPr>
  </w:style>
  <w:style w:type="character" w:styleId="Funotenzeichen">
    <w:name w:val="footnote reference"/>
    <w:aliases w:val="Footnote symbol"/>
    <w:rsid w:val="00141BF7"/>
    <w:rPr>
      <w:vertAlign w:val="superscript"/>
    </w:rPr>
  </w:style>
  <w:style w:type="paragraph" w:styleId="Dokumentstruktur">
    <w:name w:val="Document Map"/>
    <w:basedOn w:val="Standard"/>
    <w:semiHidden/>
    <w:rsid w:val="00741564"/>
    <w:pPr>
      <w:shd w:val="clear" w:color="auto" w:fill="000080"/>
    </w:pPr>
    <w:rPr>
      <w:rFonts w:ascii="Tahoma" w:hAnsi="Tahoma" w:cs="Tahoma"/>
      <w:sz w:val="20"/>
      <w:szCs w:val="20"/>
    </w:rPr>
  </w:style>
  <w:style w:type="table" w:styleId="Tabellenraster">
    <w:name w:val="Table Grid"/>
    <w:basedOn w:val="NormaleTabelle"/>
    <w:rsid w:val="00741564"/>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altsverzeichnisberschrift1">
    <w:name w:val="Inhaltsverzeichnisüberschrift1"/>
    <w:basedOn w:val="berschrift1"/>
    <w:next w:val="Standard"/>
    <w:uiPriority w:val="39"/>
    <w:semiHidden/>
    <w:unhideWhenUsed/>
    <w:qFormat/>
    <w:rsid w:val="00420FE5"/>
    <w:pPr>
      <w:pageBreakBefore w:val="0"/>
      <w:numPr>
        <w:numId w:val="0"/>
      </w:numPr>
      <w:spacing w:line="276" w:lineRule="auto"/>
      <w:jc w:val="left"/>
      <w:outlineLvl w:val="9"/>
    </w:pPr>
    <w:rPr>
      <w:rFonts w:ascii="Cambria" w:hAnsi="Cambria"/>
      <w:color w:val="365F91"/>
      <w:sz w:val="28"/>
      <w:lang w:val="de-DE" w:eastAsia="de-DE"/>
    </w:rPr>
  </w:style>
  <w:style w:type="character" w:customStyle="1" w:styleId="Platzhaltertext1">
    <w:name w:val="Platzhaltertext1"/>
    <w:basedOn w:val="Absatz-Standardschriftart"/>
    <w:uiPriority w:val="99"/>
    <w:semiHidden/>
    <w:rsid w:val="0053012A"/>
    <w:rPr>
      <w:color w:val="808080"/>
    </w:rPr>
  </w:style>
  <w:style w:type="paragraph" w:customStyle="1" w:styleId="Listenabsatz1">
    <w:name w:val="Listenabsatz1"/>
    <w:basedOn w:val="Standard"/>
    <w:qFormat/>
    <w:rsid w:val="00F96304"/>
    <w:pPr>
      <w:spacing w:after="200" w:line="276" w:lineRule="auto"/>
      <w:ind w:left="720"/>
      <w:contextualSpacing/>
    </w:pPr>
    <w:rPr>
      <w:rFonts w:eastAsia="Calibri"/>
      <w:szCs w:val="22"/>
      <w:lang w:val="de-AT"/>
    </w:rPr>
  </w:style>
  <w:style w:type="character" w:styleId="Fett">
    <w:name w:val="Strong"/>
    <w:basedOn w:val="Absatz-Standardschriftart"/>
    <w:qFormat/>
    <w:rsid w:val="006C1A8C"/>
    <w:rPr>
      <w:b/>
      <w:bCs/>
    </w:rPr>
  </w:style>
  <w:style w:type="paragraph" w:styleId="Inhaltsverzeichnisberschrift">
    <w:name w:val="TOC Heading"/>
    <w:basedOn w:val="berschrift1"/>
    <w:next w:val="Standard"/>
    <w:uiPriority w:val="39"/>
    <w:semiHidden/>
    <w:unhideWhenUsed/>
    <w:qFormat/>
    <w:rsid w:val="00792F05"/>
    <w:pPr>
      <w:pageBreakBefore w:val="0"/>
      <w:numPr>
        <w:numId w:val="0"/>
      </w:numPr>
      <w:spacing w:line="276" w:lineRule="auto"/>
      <w:jc w:val="left"/>
      <w:outlineLvl w:val="9"/>
    </w:pPr>
    <w:rPr>
      <w:rFonts w:asciiTheme="majorHAnsi" w:eastAsiaTheme="majorEastAsia" w:hAnsiTheme="majorHAnsi" w:cstheme="majorBidi"/>
      <w:color w:val="365F91" w:themeColor="accent1" w:themeShade="BF"/>
      <w:sz w:val="28"/>
      <w:lang w:eastAsia="en-GB"/>
    </w:rPr>
  </w:style>
  <w:style w:type="paragraph" w:styleId="Listenabsatz">
    <w:name w:val="List Paragraph"/>
    <w:basedOn w:val="Standard"/>
    <w:uiPriority w:val="34"/>
    <w:qFormat/>
    <w:rsid w:val="00F00259"/>
    <w:pPr>
      <w:spacing w:before="120" w:after="0"/>
      <w:ind w:left="720"/>
      <w:contextualSpacing/>
      <w:jc w:val="left"/>
    </w:pPr>
    <w:rPr>
      <w:szCs w:val="22"/>
      <w:lang w:val="en-IE"/>
    </w:rPr>
  </w:style>
  <w:style w:type="paragraph" w:styleId="Untertitel">
    <w:name w:val="Subtitle"/>
    <w:basedOn w:val="Standard"/>
    <w:next w:val="Standard"/>
    <w:link w:val="UntertitelZchn"/>
    <w:qFormat/>
    <w:rsid w:val="009C3DA9"/>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9C3DA9"/>
    <w:rPr>
      <w:rFonts w:asciiTheme="majorHAnsi" w:eastAsiaTheme="majorEastAsia" w:hAnsiTheme="majorHAnsi" w:cstheme="majorBidi"/>
      <w:i/>
      <w:iCs/>
      <w:color w:val="4F81BD" w:themeColor="accent1"/>
      <w:spacing w:val="15"/>
      <w:sz w:val="24"/>
      <w:szCs w:val="24"/>
      <w:lang w:eastAsia="en-US"/>
    </w:rPr>
  </w:style>
  <w:style w:type="character" w:styleId="Kommentarzeichen">
    <w:name w:val="annotation reference"/>
    <w:basedOn w:val="Absatz-Standardschriftart"/>
    <w:rsid w:val="004B435A"/>
    <w:rPr>
      <w:sz w:val="16"/>
      <w:szCs w:val="16"/>
    </w:rPr>
  </w:style>
  <w:style w:type="paragraph" w:styleId="Kommentartext">
    <w:name w:val="annotation text"/>
    <w:basedOn w:val="Standard"/>
    <w:link w:val="KommentartextZchn"/>
    <w:rsid w:val="004B435A"/>
    <w:rPr>
      <w:sz w:val="20"/>
      <w:szCs w:val="20"/>
    </w:rPr>
  </w:style>
  <w:style w:type="character" w:customStyle="1" w:styleId="KommentartextZchn">
    <w:name w:val="Kommentartext Zchn"/>
    <w:basedOn w:val="Absatz-Standardschriftart"/>
    <w:link w:val="Kommentartext"/>
    <w:rsid w:val="004B435A"/>
    <w:rPr>
      <w:rFonts w:ascii="Calibri"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06339"/>
    <w:pPr>
      <w:spacing w:after="60"/>
      <w:jc w:val="both"/>
    </w:pPr>
    <w:rPr>
      <w:rFonts w:ascii="Calibri" w:hAnsi="Calibri"/>
      <w:sz w:val="22"/>
      <w:szCs w:val="24"/>
      <w:lang w:eastAsia="en-US"/>
    </w:rPr>
  </w:style>
  <w:style w:type="paragraph" w:styleId="berschrift1">
    <w:name w:val="heading 1"/>
    <w:basedOn w:val="Standard"/>
    <w:next w:val="Standard"/>
    <w:link w:val="berschrift1Zchn"/>
    <w:qFormat/>
    <w:rsid w:val="002D3E05"/>
    <w:pPr>
      <w:keepNext/>
      <w:keepLines/>
      <w:pageBreakBefore/>
      <w:numPr>
        <w:numId w:val="11"/>
      </w:numPr>
      <w:spacing w:before="480" w:after="0"/>
      <w:outlineLvl w:val="0"/>
    </w:pPr>
    <w:rPr>
      <w:b/>
      <w:bCs/>
      <w:color w:val="17365D"/>
      <w:sz w:val="36"/>
      <w:szCs w:val="28"/>
    </w:rPr>
  </w:style>
  <w:style w:type="paragraph" w:styleId="berschrift2">
    <w:name w:val="heading 2"/>
    <w:basedOn w:val="Standard"/>
    <w:next w:val="Standard"/>
    <w:link w:val="berschrift2Zchn"/>
    <w:autoRedefine/>
    <w:qFormat/>
    <w:rsid w:val="00AC7971"/>
    <w:pPr>
      <w:keepNext/>
      <w:numPr>
        <w:ilvl w:val="1"/>
        <w:numId w:val="11"/>
      </w:numPr>
      <w:tabs>
        <w:tab w:val="clear" w:pos="1440"/>
        <w:tab w:val="num" w:pos="851"/>
      </w:tabs>
      <w:spacing w:before="240"/>
      <w:jc w:val="left"/>
      <w:outlineLvl w:val="1"/>
    </w:pPr>
    <w:rPr>
      <w:rFonts w:ascii="Georgia" w:hAnsi="Georgia"/>
      <w:bCs/>
      <w:iCs/>
      <w:color w:val="17365D"/>
      <w:sz w:val="28"/>
      <w:szCs w:val="28"/>
      <w:lang w:eastAsia="x-none"/>
    </w:rPr>
  </w:style>
  <w:style w:type="paragraph" w:styleId="berschrift3">
    <w:name w:val="heading 3"/>
    <w:basedOn w:val="berschrift2"/>
    <w:next w:val="Standard"/>
    <w:link w:val="berschrift3Zchn"/>
    <w:autoRedefine/>
    <w:qFormat/>
    <w:rsid w:val="00D46790"/>
    <w:pPr>
      <w:numPr>
        <w:ilvl w:val="2"/>
      </w:numPr>
      <w:tabs>
        <w:tab w:val="clear" w:pos="1797"/>
        <w:tab w:val="num" w:pos="900"/>
      </w:tabs>
      <w:ind w:left="0" w:firstLine="0"/>
      <w:outlineLvl w:val="2"/>
    </w:pPr>
    <w:rPr>
      <w:iCs w:val="0"/>
      <w:szCs w:val="26"/>
    </w:rPr>
  </w:style>
  <w:style w:type="paragraph" w:styleId="berschrift4">
    <w:name w:val="heading 4"/>
    <w:basedOn w:val="berschrift3"/>
    <w:next w:val="Standard"/>
    <w:qFormat/>
    <w:rsid w:val="00116DFC"/>
    <w:pPr>
      <w:numPr>
        <w:ilvl w:val="3"/>
      </w:numPr>
      <w:tabs>
        <w:tab w:val="clear" w:pos="1588"/>
        <w:tab w:val="num" w:pos="1080"/>
      </w:tabs>
      <w:ind w:left="0" w:firstLine="0"/>
      <w:outlineLvl w:val="3"/>
    </w:pPr>
    <w:rPr>
      <w:szCs w:val="28"/>
      <w:lang w:val="de-DE"/>
    </w:rPr>
  </w:style>
  <w:style w:type="paragraph" w:styleId="berschrift5">
    <w:name w:val="heading 5"/>
    <w:basedOn w:val="berschrift4"/>
    <w:next w:val="Standard"/>
    <w:autoRedefine/>
    <w:qFormat/>
    <w:rsid w:val="00116DFC"/>
    <w:pPr>
      <w:numPr>
        <w:ilvl w:val="4"/>
      </w:numPr>
      <w:tabs>
        <w:tab w:val="clear" w:pos="2795"/>
        <w:tab w:val="num" w:pos="1260"/>
      </w:tabs>
      <w:ind w:left="0" w:firstLine="0"/>
      <w:outlineLvl w:val="4"/>
    </w:pPr>
  </w:style>
  <w:style w:type="paragraph" w:styleId="berschrift6">
    <w:name w:val="heading 6"/>
    <w:basedOn w:val="berschrift5"/>
    <w:next w:val="Standard"/>
    <w:autoRedefine/>
    <w:qFormat/>
    <w:rsid w:val="00EC1F0C"/>
    <w:pPr>
      <w:numPr>
        <w:ilvl w:val="5"/>
      </w:numPr>
      <w:tabs>
        <w:tab w:val="clear" w:pos="3436"/>
        <w:tab w:val="num" w:pos="1620"/>
      </w:tabs>
      <w:ind w:left="0" w:firstLine="0"/>
      <w:outlineLvl w:val="5"/>
    </w:pPr>
  </w:style>
  <w:style w:type="paragraph" w:styleId="berschrift7">
    <w:name w:val="heading 7"/>
    <w:basedOn w:val="berschrift6"/>
    <w:next w:val="Standard"/>
    <w:autoRedefine/>
    <w:qFormat/>
    <w:rsid w:val="000F5247"/>
    <w:pPr>
      <w:keepNext w:val="0"/>
      <w:numPr>
        <w:ilvl w:val="6"/>
      </w:numPr>
      <w:tabs>
        <w:tab w:val="clear" w:pos="3793"/>
        <w:tab w:val="num" w:pos="1800"/>
      </w:tabs>
      <w:ind w:left="0" w:firstLine="0"/>
      <w:outlineLvl w:val="6"/>
    </w:pPr>
  </w:style>
  <w:style w:type="paragraph" w:styleId="berschrift8">
    <w:name w:val="heading 8"/>
    <w:basedOn w:val="berschrift7"/>
    <w:next w:val="Standard"/>
    <w:autoRedefine/>
    <w:qFormat/>
    <w:rsid w:val="000742BE"/>
    <w:pPr>
      <w:numPr>
        <w:ilvl w:val="7"/>
      </w:numPr>
      <w:tabs>
        <w:tab w:val="clear" w:pos="4434"/>
        <w:tab w:val="num" w:pos="1980"/>
      </w:tabs>
      <w:ind w:left="0" w:firstLine="0"/>
      <w:outlineLvl w:val="7"/>
    </w:pPr>
  </w:style>
  <w:style w:type="paragraph" w:styleId="berschrift9">
    <w:name w:val="heading 9"/>
    <w:basedOn w:val="berschrift8"/>
    <w:next w:val="Standard"/>
    <w:qFormat/>
    <w:rsid w:val="000742BE"/>
    <w:pPr>
      <w:numPr>
        <w:ilvl w:val="8"/>
      </w:numPr>
      <w:tabs>
        <w:tab w:val="left" w:pos="2160"/>
      </w:tabs>
      <w:ind w:left="0" w:firstLine="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F7834"/>
    <w:pPr>
      <w:tabs>
        <w:tab w:val="center" w:pos="4536"/>
        <w:tab w:val="right" w:pos="9072"/>
      </w:tabs>
    </w:pPr>
  </w:style>
  <w:style w:type="paragraph" w:styleId="Fuzeile">
    <w:name w:val="footer"/>
    <w:basedOn w:val="Standard"/>
    <w:link w:val="FuzeileZchn"/>
    <w:uiPriority w:val="99"/>
    <w:rsid w:val="009F7834"/>
    <w:pPr>
      <w:tabs>
        <w:tab w:val="center" w:pos="4536"/>
        <w:tab w:val="right" w:pos="9072"/>
      </w:tabs>
    </w:pPr>
  </w:style>
  <w:style w:type="character" w:customStyle="1" w:styleId="FuzeileZchn">
    <w:name w:val="Fußzeile Zchn"/>
    <w:link w:val="Fuzeile"/>
    <w:uiPriority w:val="99"/>
    <w:rsid w:val="009F7834"/>
    <w:rPr>
      <w:rFonts w:ascii="Calibri" w:hAnsi="Calibri"/>
      <w:sz w:val="22"/>
      <w:szCs w:val="24"/>
      <w:lang w:val="en-GB" w:eastAsia="en-US" w:bidi="ar-SA"/>
    </w:rPr>
  </w:style>
  <w:style w:type="paragraph" w:customStyle="1" w:styleId="DocumentTitle">
    <w:name w:val="Document Title"/>
    <w:rsid w:val="00906339"/>
    <w:pPr>
      <w:keepNext/>
      <w:keepLines/>
      <w:pBdr>
        <w:top w:val="single" w:sz="30" w:space="15" w:color="0000FF"/>
        <w:bottom w:val="single" w:sz="30" w:space="15" w:color="0000FF"/>
      </w:pBdr>
      <w:spacing w:before="240"/>
      <w:jc w:val="center"/>
    </w:pPr>
    <w:rPr>
      <w:b/>
      <w:sz w:val="40"/>
      <w:lang w:eastAsia="en-US"/>
    </w:rPr>
  </w:style>
  <w:style w:type="paragraph" w:styleId="Verzeichnis1">
    <w:name w:val="toc 1"/>
    <w:basedOn w:val="Standard"/>
    <w:next w:val="Standard"/>
    <w:uiPriority w:val="39"/>
    <w:qFormat/>
    <w:rsid w:val="00630F6B"/>
    <w:pPr>
      <w:jc w:val="left"/>
    </w:pPr>
    <w:rPr>
      <w:b/>
      <w:bCs/>
      <w:caps/>
    </w:rPr>
  </w:style>
  <w:style w:type="paragraph" w:styleId="Verzeichnis2">
    <w:name w:val="toc 2"/>
    <w:basedOn w:val="Standard"/>
    <w:next w:val="Standard"/>
    <w:uiPriority w:val="39"/>
    <w:qFormat/>
    <w:rsid w:val="00630F6B"/>
    <w:pPr>
      <w:ind w:left="240"/>
      <w:jc w:val="left"/>
    </w:pPr>
    <w:rPr>
      <w:smallCaps/>
    </w:rPr>
  </w:style>
  <w:style w:type="paragraph" w:styleId="Verzeichnis3">
    <w:name w:val="toc 3"/>
    <w:basedOn w:val="Standard"/>
    <w:next w:val="Standard"/>
    <w:uiPriority w:val="39"/>
    <w:qFormat/>
    <w:rsid w:val="00630F6B"/>
    <w:pPr>
      <w:ind w:left="480"/>
      <w:jc w:val="left"/>
    </w:pPr>
    <w:rPr>
      <w:iCs/>
      <w:smallCaps/>
    </w:rPr>
  </w:style>
  <w:style w:type="paragraph" w:styleId="Titel">
    <w:name w:val="Title"/>
    <w:basedOn w:val="Standard"/>
    <w:link w:val="TitelZchn"/>
    <w:qFormat/>
    <w:rsid w:val="002D3E05"/>
    <w:pPr>
      <w:widowControl w:val="0"/>
      <w:jc w:val="center"/>
    </w:pPr>
    <w:rPr>
      <w:b/>
      <w:bCs/>
      <w:color w:val="17365D"/>
      <w:sz w:val="28"/>
    </w:rPr>
  </w:style>
  <w:style w:type="character" w:customStyle="1" w:styleId="TitelZchn">
    <w:name w:val="Titel Zchn"/>
    <w:link w:val="Titel"/>
    <w:rsid w:val="002D3E05"/>
    <w:rPr>
      <w:rFonts w:ascii="Calibri" w:hAnsi="Calibri"/>
      <w:b/>
      <w:bCs/>
      <w:color w:val="17365D"/>
      <w:sz w:val="28"/>
      <w:szCs w:val="24"/>
      <w:lang w:val="en-GB" w:eastAsia="en-US"/>
    </w:rPr>
  </w:style>
  <w:style w:type="character" w:customStyle="1" w:styleId="KopfzeileZchn">
    <w:name w:val="Kopfzeile Zchn"/>
    <w:link w:val="Kopfzeile"/>
    <w:rsid w:val="00FD2193"/>
    <w:rPr>
      <w:rFonts w:ascii="Calibri" w:hAnsi="Calibri"/>
      <w:sz w:val="22"/>
      <w:szCs w:val="24"/>
      <w:lang w:val="en-GB" w:eastAsia="en-US" w:bidi="ar-SA"/>
    </w:rPr>
  </w:style>
  <w:style w:type="character" w:styleId="Hyperlink">
    <w:name w:val="Hyperlink"/>
    <w:uiPriority w:val="99"/>
    <w:rsid w:val="00906339"/>
    <w:rPr>
      <w:color w:val="0000FF"/>
      <w:sz w:val="20"/>
      <w:u w:val="single"/>
    </w:rPr>
  </w:style>
  <w:style w:type="character" w:customStyle="1" w:styleId="berschrift1Zchn">
    <w:name w:val="Überschrift 1 Zchn"/>
    <w:link w:val="berschrift1"/>
    <w:rsid w:val="002D3E05"/>
    <w:rPr>
      <w:rFonts w:ascii="Calibri" w:hAnsi="Calibri"/>
      <w:b/>
      <w:bCs/>
      <w:color w:val="17365D"/>
      <w:sz w:val="36"/>
      <w:szCs w:val="28"/>
      <w:lang w:val="en-GB" w:eastAsia="en-US"/>
    </w:rPr>
  </w:style>
  <w:style w:type="character" w:customStyle="1" w:styleId="berschrift2Zchn">
    <w:name w:val="Überschrift 2 Zchn"/>
    <w:link w:val="berschrift2"/>
    <w:rsid w:val="00AC7971"/>
    <w:rPr>
      <w:rFonts w:ascii="Georgia" w:hAnsi="Georgia"/>
      <w:bCs/>
      <w:iCs/>
      <w:color w:val="17365D"/>
      <w:sz w:val="28"/>
      <w:szCs w:val="28"/>
      <w:lang w:eastAsia="x-none"/>
    </w:rPr>
  </w:style>
  <w:style w:type="character" w:customStyle="1" w:styleId="berschrift3Zchn">
    <w:name w:val="Überschrift 3 Zchn"/>
    <w:link w:val="berschrift3"/>
    <w:rsid w:val="00D46790"/>
    <w:rPr>
      <w:rFonts w:ascii="Georgia" w:hAnsi="Georgia"/>
      <w:bCs/>
      <w:color w:val="17365D"/>
      <w:sz w:val="28"/>
      <w:szCs w:val="26"/>
      <w:lang w:val="en-GB" w:eastAsia="x-none"/>
    </w:rPr>
  </w:style>
  <w:style w:type="paragraph" w:customStyle="1" w:styleId="Heading1Unumbered">
    <w:name w:val="Heading 1 Unumbered"/>
    <w:basedOn w:val="berschrift1"/>
    <w:next w:val="Standard"/>
    <w:rsid w:val="005E1E1F"/>
    <w:pPr>
      <w:numPr>
        <w:numId w:val="0"/>
      </w:numPr>
      <w:spacing w:after="280"/>
    </w:pPr>
    <w:rPr>
      <w:color w:val="0070C0"/>
    </w:rPr>
  </w:style>
  <w:style w:type="paragraph" w:styleId="Beschriftung">
    <w:name w:val="caption"/>
    <w:basedOn w:val="Standard"/>
    <w:next w:val="Standard"/>
    <w:uiPriority w:val="35"/>
    <w:qFormat/>
    <w:rsid w:val="008F472F"/>
    <w:pPr>
      <w:spacing w:before="120"/>
      <w:jc w:val="center"/>
    </w:pPr>
    <w:rPr>
      <w:b/>
      <w:bCs/>
      <w:i/>
      <w:sz w:val="18"/>
      <w:szCs w:val="20"/>
    </w:rPr>
  </w:style>
  <w:style w:type="paragraph" w:customStyle="1" w:styleId="Appendix">
    <w:name w:val="Appendix"/>
    <w:basedOn w:val="Standard"/>
    <w:next w:val="Standard"/>
    <w:rsid w:val="001D5927"/>
    <w:pPr>
      <w:keepNext/>
      <w:keepLines/>
      <w:pageBreakBefore/>
      <w:numPr>
        <w:numId w:val="1"/>
      </w:numPr>
      <w:spacing w:after="240"/>
      <w:outlineLvl w:val="0"/>
    </w:pPr>
    <w:rPr>
      <w:rFonts w:cs="Calibri"/>
      <w:b/>
      <w:bCs/>
      <w:color w:val="0070C0"/>
      <w:kern w:val="32"/>
      <w:sz w:val="32"/>
      <w:szCs w:val="20"/>
    </w:rPr>
  </w:style>
  <w:style w:type="paragraph" w:styleId="Abbildungsverzeichnis">
    <w:name w:val="table of figures"/>
    <w:basedOn w:val="Standard"/>
    <w:next w:val="Standard"/>
    <w:uiPriority w:val="99"/>
    <w:rsid w:val="00E22C7F"/>
  </w:style>
  <w:style w:type="paragraph" w:styleId="Sprechblasentext">
    <w:name w:val="Balloon Text"/>
    <w:basedOn w:val="Standard"/>
    <w:link w:val="SprechblasentextZchn"/>
    <w:rsid w:val="00EF29DD"/>
    <w:pPr>
      <w:spacing w:after="0"/>
    </w:pPr>
    <w:rPr>
      <w:rFonts w:ascii="Tahoma" w:hAnsi="Tahoma"/>
      <w:sz w:val="16"/>
      <w:szCs w:val="16"/>
    </w:rPr>
  </w:style>
  <w:style w:type="character" w:customStyle="1" w:styleId="SprechblasentextZchn">
    <w:name w:val="Sprechblasentext Zchn"/>
    <w:link w:val="Sprechblasentext"/>
    <w:rsid w:val="00EF29DD"/>
    <w:rPr>
      <w:rFonts w:ascii="Tahoma" w:hAnsi="Tahoma" w:cs="Tahoma"/>
      <w:sz w:val="16"/>
      <w:szCs w:val="16"/>
      <w:lang w:val="en-GB" w:eastAsia="en-US"/>
    </w:rPr>
  </w:style>
  <w:style w:type="paragraph" w:styleId="Funotentext">
    <w:name w:val="footnote text"/>
    <w:aliases w:val="Schriftart: 9 pt,Schriftart: 10 pt,Schriftart: 8 pt,WB-Fußnotentext,fn,Footnotes,Footnote ak,Footnote,Footnote text"/>
    <w:basedOn w:val="Standard"/>
    <w:link w:val="FunotentextZchn"/>
    <w:rsid w:val="00141BF7"/>
    <w:rPr>
      <w:sz w:val="20"/>
      <w:szCs w:val="20"/>
    </w:rPr>
  </w:style>
  <w:style w:type="character" w:customStyle="1" w:styleId="FunotentextZchn">
    <w:name w:val="Fußnotentext Zchn"/>
    <w:aliases w:val="Schriftart: 9 pt Zchn,Schriftart: 10 pt Zchn,Schriftart: 8 pt Zchn,WB-Fußnotentext Zchn,fn Zchn,Footnotes Zchn,Footnote ak Zchn,Footnote Zchn,Footnote text Zchn"/>
    <w:link w:val="Funotentext"/>
    <w:rsid w:val="00141BF7"/>
    <w:rPr>
      <w:rFonts w:ascii="Calibri" w:hAnsi="Calibri"/>
      <w:lang w:val="en-GB" w:eastAsia="en-US"/>
    </w:rPr>
  </w:style>
  <w:style w:type="character" w:styleId="Funotenzeichen">
    <w:name w:val="footnote reference"/>
    <w:aliases w:val="Footnote symbol"/>
    <w:rsid w:val="00141BF7"/>
    <w:rPr>
      <w:vertAlign w:val="superscript"/>
    </w:rPr>
  </w:style>
  <w:style w:type="paragraph" w:styleId="Dokumentstruktur">
    <w:name w:val="Document Map"/>
    <w:basedOn w:val="Standard"/>
    <w:semiHidden/>
    <w:rsid w:val="00741564"/>
    <w:pPr>
      <w:shd w:val="clear" w:color="auto" w:fill="000080"/>
    </w:pPr>
    <w:rPr>
      <w:rFonts w:ascii="Tahoma" w:hAnsi="Tahoma" w:cs="Tahoma"/>
      <w:sz w:val="20"/>
      <w:szCs w:val="20"/>
    </w:rPr>
  </w:style>
  <w:style w:type="table" w:styleId="Tabellenraster">
    <w:name w:val="Table Grid"/>
    <w:basedOn w:val="NormaleTabelle"/>
    <w:rsid w:val="00741564"/>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altsverzeichnisberschrift1">
    <w:name w:val="Inhaltsverzeichnisüberschrift1"/>
    <w:basedOn w:val="berschrift1"/>
    <w:next w:val="Standard"/>
    <w:uiPriority w:val="39"/>
    <w:semiHidden/>
    <w:unhideWhenUsed/>
    <w:qFormat/>
    <w:rsid w:val="00420FE5"/>
    <w:pPr>
      <w:pageBreakBefore w:val="0"/>
      <w:numPr>
        <w:numId w:val="0"/>
      </w:numPr>
      <w:spacing w:line="276" w:lineRule="auto"/>
      <w:jc w:val="left"/>
      <w:outlineLvl w:val="9"/>
    </w:pPr>
    <w:rPr>
      <w:rFonts w:ascii="Cambria" w:hAnsi="Cambria"/>
      <w:color w:val="365F91"/>
      <w:sz w:val="28"/>
      <w:lang w:val="de-DE" w:eastAsia="de-DE"/>
    </w:rPr>
  </w:style>
  <w:style w:type="character" w:customStyle="1" w:styleId="Platzhaltertext1">
    <w:name w:val="Platzhaltertext1"/>
    <w:basedOn w:val="Absatz-Standardschriftart"/>
    <w:uiPriority w:val="99"/>
    <w:semiHidden/>
    <w:rsid w:val="0053012A"/>
    <w:rPr>
      <w:color w:val="808080"/>
    </w:rPr>
  </w:style>
  <w:style w:type="paragraph" w:customStyle="1" w:styleId="Listenabsatz1">
    <w:name w:val="Listenabsatz1"/>
    <w:basedOn w:val="Standard"/>
    <w:qFormat/>
    <w:rsid w:val="00F96304"/>
    <w:pPr>
      <w:spacing w:after="200" w:line="276" w:lineRule="auto"/>
      <w:ind w:left="720"/>
      <w:contextualSpacing/>
    </w:pPr>
    <w:rPr>
      <w:rFonts w:eastAsia="Calibri"/>
      <w:szCs w:val="22"/>
      <w:lang w:val="de-AT"/>
    </w:rPr>
  </w:style>
  <w:style w:type="character" w:styleId="Fett">
    <w:name w:val="Strong"/>
    <w:basedOn w:val="Absatz-Standardschriftart"/>
    <w:qFormat/>
    <w:rsid w:val="006C1A8C"/>
    <w:rPr>
      <w:b/>
      <w:bCs/>
    </w:rPr>
  </w:style>
  <w:style w:type="paragraph" w:styleId="Inhaltsverzeichnisberschrift">
    <w:name w:val="TOC Heading"/>
    <w:basedOn w:val="berschrift1"/>
    <w:next w:val="Standard"/>
    <w:uiPriority w:val="39"/>
    <w:semiHidden/>
    <w:unhideWhenUsed/>
    <w:qFormat/>
    <w:rsid w:val="00792F05"/>
    <w:pPr>
      <w:pageBreakBefore w:val="0"/>
      <w:numPr>
        <w:numId w:val="0"/>
      </w:numPr>
      <w:spacing w:line="276" w:lineRule="auto"/>
      <w:jc w:val="left"/>
      <w:outlineLvl w:val="9"/>
    </w:pPr>
    <w:rPr>
      <w:rFonts w:asciiTheme="majorHAnsi" w:eastAsiaTheme="majorEastAsia" w:hAnsiTheme="majorHAnsi" w:cstheme="majorBidi"/>
      <w:color w:val="365F91" w:themeColor="accent1" w:themeShade="BF"/>
      <w:sz w:val="28"/>
      <w:lang w:eastAsia="en-GB"/>
    </w:rPr>
  </w:style>
  <w:style w:type="paragraph" w:styleId="Listenabsatz">
    <w:name w:val="List Paragraph"/>
    <w:basedOn w:val="Standard"/>
    <w:uiPriority w:val="34"/>
    <w:qFormat/>
    <w:rsid w:val="00F00259"/>
    <w:pPr>
      <w:spacing w:before="120" w:after="0"/>
      <w:ind w:left="720"/>
      <w:contextualSpacing/>
      <w:jc w:val="left"/>
    </w:pPr>
    <w:rPr>
      <w:szCs w:val="22"/>
      <w:lang w:val="en-IE"/>
    </w:rPr>
  </w:style>
  <w:style w:type="paragraph" w:styleId="Untertitel">
    <w:name w:val="Subtitle"/>
    <w:basedOn w:val="Standard"/>
    <w:next w:val="Standard"/>
    <w:link w:val="UntertitelZchn"/>
    <w:qFormat/>
    <w:rsid w:val="009C3DA9"/>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9C3DA9"/>
    <w:rPr>
      <w:rFonts w:asciiTheme="majorHAnsi" w:eastAsiaTheme="majorEastAsia" w:hAnsiTheme="majorHAnsi" w:cstheme="majorBidi"/>
      <w:i/>
      <w:iCs/>
      <w:color w:val="4F81BD" w:themeColor="accent1"/>
      <w:spacing w:val="15"/>
      <w:sz w:val="24"/>
      <w:szCs w:val="24"/>
      <w:lang w:eastAsia="en-US"/>
    </w:rPr>
  </w:style>
  <w:style w:type="character" w:styleId="Kommentarzeichen">
    <w:name w:val="annotation reference"/>
    <w:basedOn w:val="Absatz-Standardschriftart"/>
    <w:rsid w:val="004B435A"/>
    <w:rPr>
      <w:sz w:val="16"/>
      <w:szCs w:val="16"/>
    </w:rPr>
  </w:style>
  <w:style w:type="paragraph" w:styleId="Kommentartext">
    <w:name w:val="annotation text"/>
    <w:basedOn w:val="Standard"/>
    <w:link w:val="KommentartextZchn"/>
    <w:rsid w:val="004B435A"/>
    <w:rPr>
      <w:sz w:val="20"/>
      <w:szCs w:val="20"/>
    </w:rPr>
  </w:style>
  <w:style w:type="character" w:customStyle="1" w:styleId="KommentartextZchn">
    <w:name w:val="Kommentartext Zchn"/>
    <w:basedOn w:val="Absatz-Standardschriftart"/>
    <w:link w:val="Kommentartext"/>
    <w:rsid w:val="004B435A"/>
    <w:rPr>
      <w:rFonts w:ascii="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etsi.org/deliver/etsi_ts/119600_119699/119612/01.01.01_60/ts_119612v010101p.pdf" TargetMode="External"/><Relationship Id="rId3" Type="http://schemas.openxmlformats.org/officeDocument/2006/relationships/hyperlink" Target="http://www.epsos.eu/uploads/tx_epsosfileshare/D3.7.2_SECTION_II_epSOS_Security_Services_01.pdf" TargetMode="External"/><Relationship Id="rId7" Type="http://schemas.openxmlformats.org/officeDocument/2006/relationships/hyperlink" Target="http://www.projectliberty.org/liberty/content/download/1232/8000/file/liberty-trust-models-guidelines-v1.0.pdf" TargetMode="External"/><Relationship Id="rId2" Type="http://schemas.openxmlformats.org/officeDocument/2006/relationships/hyperlink" Target="http://docs.oasis-open.org/ws-sx/ws-trust/v1.4/ws-trust.html" TargetMode="External"/><Relationship Id="rId1" Type="http://schemas.openxmlformats.org/officeDocument/2006/relationships/hyperlink" Target="https://www.enisa.europa.eu/activities/identity-and-trust/library/deliverables/trusted-eid/at_download/fullReport" TargetMode="External"/><Relationship Id="rId6" Type="http://schemas.openxmlformats.org/officeDocument/2006/relationships/hyperlink" Target="http://docs.oasis-open.org/ws-sx/ws-trust/200512/ws-trust-1.3-os.html" TargetMode="External"/><Relationship Id="rId5" Type="http://schemas.openxmlformats.org/officeDocument/2006/relationships/hyperlink" Target="https://www.oasis-open.org/committees/download.php/6158/sstc-saml-trustmodels-2.0-draft-01.pdf" TargetMode="External"/><Relationship Id="rId4" Type="http://schemas.openxmlformats.org/officeDocument/2006/relationships/hyperlink" Target="http://www.projectliberty.org/liberty/content/download/1232/8000/file/liberty-trust-models-guidelines-v1.0.pdf" TargetMode="External"/><Relationship Id="rId9" Type="http://schemas.openxmlformats.org/officeDocument/2006/relationships/hyperlink" Target="http://docs.oasis-open.org/wsfed/federation/v1.2/os/ws-federation-1.2-spec-o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F6826-A6DA-45C7-94C6-778ED6C41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5079</Words>
  <Characters>28953</Characters>
  <Application>Microsoft Office Word</Application>
  <DocSecurity>0</DocSecurity>
  <Lines>241</Lines>
  <Paragraphs>67</Paragraphs>
  <ScaleCrop>false</ScaleCrop>
  <HeadingPairs>
    <vt:vector size="2" baseType="variant">
      <vt:variant>
        <vt:lpstr>Titel</vt:lpstr>
      </vt:variant>
      <vt:variant>
        <vt:i4>1</vt:i4>
      </vt:variant>
    </vt:vector>
  </HeadingPairs>
  <TitlesOfParts>
    <vt:vector size="1" baseType="lpstr">
      <vt:lpstr>Dx.x name</vt:lpstr>
    </vt:vector>
  </TitlesOfParts>
  <Company>bremen online services GmbH &amp; Co. KG</Company>
  <LinksUpToDate>false</LinksUpToDate>
  <CharactersWithSpaces>33965</CharactersWithSpaces>
  <SharedDoc>false</SharedDoc>
  <HLinks>
    <vt:vector size="198" baseType="variant">
      <vt:variant>
        <vt:i4>1048639</vt:i4>
      </vt:variant>
      <vt:variant>
        <vt:i4>200</vt:i4>
      </vt:variant>
      <vt:variant>
        <vt:i4>0</vt:i4>
      </vt:variant>
      <vt:variant>
        <vt:i4>5</vt:i4>
      </vt:variant>
      <vt:variant>
        <vt:lpwstr/>
      </vt:variant>
      <vt:variant>
        <vt:lpwstr>_Toc358208480</vt:lpwstr>
      </vt:variant>
      <vt:variant>
        <vt:i4>2031679</vt:i4>
      </vt:variant>
      <vt:variant>
        <vt:i4>194</vt:i4>
      </vt:variant>
      <vt:variant>
        <vt:i4>0</vt:i4>
      </vt:variant>
      <vt:variant>
        <vt:i4>5</vt:i4>
      </vt:variant>
      <vt:variant>
        <vt:lpwstr/>
      </vt:variant>
      <vt:variant>
        <vt:lpwstr>_Toc358208479</vt:lpwstr>
      </vt:variant>
      <vt:variant>
        <vt:i4>2031679</vt:i4>
      </vt:variant>
      <vt:variant>
        <vt:i4>188</vt:i4>
      </vt:variant>
      <vt:variant>
        <vt:i4>0</vt:i4>
      </vt:variant>
      <vt:variant>
        <vt:i4>5</vt:i4>
      </vt:variant>
      <vt:variant>
        <vt:lpwstr/>
      </vt:variant>
      <vt:variant>
        <vt:lpwstr>_Toc358208478</vt:lpwstr>
      </vt:variant>
      <vt:variant>
        <vt:i4>1507377</vt:i4>
      </vt:variant>
      <vt:variant>
        <vt:i4>179</vt:i4>
      </vt:variant>
      <vt:variant>
        <vt:i4>0</vt:i4>
      </vt:variant>
      <vt:variant>
        <vt:i4>5</vt:i4>
      </vt:variant>
      <vt:variant>
        <vt:lpwstr/>
      </vt:variant>
      <vt:variant>
        <vt:lpwstr>_Toc356165213</vt:lpwstr>
      </vt:variant>
      <vt:variant>
        <vt:i4>2031679</vt:i4>
      </vt:variant>
      <vt:variant>
        <vt:i4>170</vt:i4>
      </vt:variant>
      <vt:variant>
        <vt:i4>0</vt:i4>
      </vt:variant>
      <vt:variant>
        <vt:i4>5</vt:i4>
      </vt:variant>
      <vt:variant>
        <vt:lpwstr/>
      </vt:variant>
      <vt:variant>
        <vt:lpwstr>_Toc358208477</vt:lpwstr>
      </vt:variant>
      <vt:variant>
        <vt:i4>2031679</vt:i4>
      </vt:variant>
      <vt:variant>
        <vt:i4>164</vt:i4>
      </vt:variant>
      <vt:variant>
        <vt:i4>0</vt:i4>
      </vt:variant>
      <vt:variant>
        <vt:i4>5</vt:i4>
      </vt:variant>
      <vt:variant>
        <vt:lpwstr/>
      </vt:variant>
      <vt:variant>
        <vt:lpwstr>_Toc358208476</vt:lpwstr>
      </vt:variant>
      <vt:variant>
        <vt:i4>2031679</vt:i4>
      </vt:variant>
      <vt:variant>
        <vt:i4>158</vt:i4>
      </vt:variant>
      <vt:variant>
        <vt:i4>0</vt:i4>
      </vt:variant>
      <vt:variant>
        <vt:i4>5</vt:i4>
      </vt:variant>
      <vt:variant>
        <vt:lpwstr/>
      </vt:variant>
      <vt:variant>
        <vt:lpwstr>_Toc358208475</vt:lpwstr>
      </vt:variant>
      <vt:variant>
        <vt:i4>2031679</vt:i4>
      </vt:variant>
      <vt:variant>
        <vt:i4>152</vt:i4>
      </vt:variant>
      <vt:variant>
        <vt:i4>0</vt:i4>
      </vt:variant>
      <vt:variant>
        <vt:i4>5</vt:i4>
      </vt:variant>
      <vt:variant>
        <vt:lpwstr/>
      </vt:variant>
      <vt:variant>
        <vt:lpwstr>_Toc358208474</vt:lpwstr>
      </vt:variant>
      <vt:variant>
        <vt:i4>2031679</vt:i4>
      </vt:variant>
      <vt:variant>
        <vt:i4>146</vt:i4>
      </vt:variant>
      <vt:variant>
        <vt:i4>0</vt:i4>
      </vt:variant>
      <vt:variant>
        <vt:i4>5</vt:i4>
      </vt:variant>
      <vt:variant>
        <vt:lpwstr/>
      </vt:variant>
      <vt:variant>
        <vt:lpwstr>_Toc358208473</vt:lpwstr>
      </vt:variant>
      <vt:variant>
        <vt:i4>2031679</vt:i4>
      </vt:variant>
      <vt:variant>
        <vt:i4>140</vt:i4>
      </vt:variant>
      <vt:variant>
        <vt:i4>0</vt:i4>
      </vt:variant>
      <vt:variant>
        <vt:i4>5</vt:i4>
      </vt:variant>
      <vt:variant>
        <vt:lpwstr/>
      </vt:variant>
      <vt:variant>
        <vt:lpwstr>_Toc358208472</vt:lpwstr>
      </vt:variant>
      <vt:variant>
        <vt:i4>2031679</vt:i4>
      </vt:variant>
      <vt:variant>
        <vt:i4>134</vt:i4>
      </vt:variant>
      <vt:variant>
        <vt:i4>0</vt:i4>
      </vt:variant>
      <vt:variant>
        <vt:i4>5</vt:i4>
      </vt:variant>
      <vt:variant>
        <vt:lpwstr/>
      </vt:variant>
      <vt:variant>
        <vt:lpwstr>_Toc358208471</vt:lpwstr>
      </vt:variant>
      <vt:variant>
        <vt:i4>2031679</vt:i4>
      </vt:variant>
      <vt:variant>
        <vt:i4>128</vt:i4>
      </vt:variant>
      <vt:variant>
        <vt:i4>0</vt:i4>
      </vt:variant>
      <vt:variant>
        <vt:i4>5</vt:i4>
      </vt:variant>
      <vt:variant>
        <vt:lpwstr/>
      </vt:variant>
      <vt:variant>
        <vt:lpwstr>_Toc358208470</vt:lpwstr>
      </vt:variant>
      <vt:variant>
        <vt:i4>1966143</vt:i4>
      </vt:variant>
      <vt:variant>
        <vt:i4>122</vt:i4>
      </vt:variant>
      <vt:variant>
        <vt:i4>0</vt:i4>
      </vt:variant>
      <vt:variant>
        <vt:i4>5</vt:i4>
      </vt:variant>
      <vt:variant>
        <vt:lpwstr/>
      </vt:variant>
      <vt:variant>
        <vt:lpwstr>_Toc358208469</vt:lpwstr>
      </vt:variant>
      <vt:variant>
        <vt:i4>1966143</vt:i4>
      </vt:variant>
      <vt:variant>
        <vt:i4>116</vt:i4>
      </vt:variant>
      <vt:variant>
        <vt:i4>0</vt:i4>
      </vt:variant>
      <vt:variant>
        <vt:i4>5</vt:i4>
      </vt:variant>
      <vt:variant>
        <vt:lpwstr/>
      </vt:variant>
      <vt:variant>
        <vt:lpwstr>_Toc358208468</vt:lpwstr>
      </vt:variant>
      <vt:variant>
        <vt:i4>1966143</vt:i4>
      </vt:variant>
      <vt:variant>
        <vt:i4>110</vt:i4>
      </vt:variant>
      <vt:variant>
        <vt:i4>0</vt:i4>
      </vt:variant>
      <vt:variant>
        <vt:i4>5</vt:i4>
      </vt:variant>
      <vt:variant>
        <vt:lpwstr/>
      </vt:variant>
      <vt:variant>
        <vt:lpwstr>_Toc358208467</vt:lpwstr>
      </vt:variant>
      <vt:variant>
        <vt:i4>1966143</vt:i4>
      </vt:variant>
      <vt:variant>
        <vt:i4>104</vt:i4>
      </vt:variant>
      <vt:variant>
        <vt:i4>0</vt:i4>
      </vt:variant>
      <vt:variant>
        <vt:i4>5</vt:i4>
      </vt:variant>
      <vt:variant>
        <vt:lpwstr/>
      </vt:variant>
      <vt:variant>
        <vt:lpwstr>_Toc358208466</vt:lpwstr>
      </vt:variant>
      <vt:variant>
        <vt:i4>1966143</vt:i4>
      </vt:variant>
      <vt:variant>
        <vt:i4>98</vt:i4>
      </vt:variant>
      <vt:variant>
        <vt:i4>0</vt:i4>
      </vt:variant>
      <vt:variant>
        <vt:i4>5</vt:i4>
      </vt:variant>
      <vt:variant>
        <vt:lpwstr/>
      </vt:variant>
      <vt:variant>
        <vt:lpwstr>_Toc358208465</vt:lpwstr>
      </vt:variant>
      <vt:variant>
        <vt:i4>1966143</vt:i4>
      </vt:variant>
      <vt:variant>
        <vt:i4>92</vt:i4>
      </vt:variant>
      <vt:variant>
        <vt:i4>0</vt:i4>
      </vt:variant>
      <vt:variant>
        <vt:i4>5</vt:i4>
      </vt:variant>
      <vt:variant>
        <vt:lpwstr/>
      </vt:variant>
      <vt:variant>
        <vt:lpwstr>_Toc358208464</vt:lpwstr>
      </vt:variant>
      <vt:variant>
        <vt:i4>1966143</vt:i4>
      </vt:variant>
      <vt:variant>
        <vt:i4>86</vt:i4>
      </vt:variant>
      <vt:variant>
        <vt:i4>0</vt:i4>
      </vt:variant>
      <vt:variant>
        <vt:i4>5</vt:i4>
      </vt:variant>
      <vt:variant>
        <vt:lpwstr/>
      </vt:variant>
      <vt:variant>
        <vt:lpwstr>_Toc358208463</vt:lpwstr>
      </vt:variant>
      <vt:variant>
        <vt:i4>1966143</vt:i4>
      </vt:variant>
      <vt:variant>
        <vt:i4>80</vt:i4>
      </vt:variant>
      <vt:variant>
        <vt:i4>0</vt:i4>
      </vt:variant>
      <vt:variant>
        <vt:i4>5</vt:i4>
      </vt:variant>
      <vt:variant>
        <vt:lpwstr/>
      </vt:variant>
      <vt:variant>
        <vt:lpwstr>_Toc358208462</vt:lpwstr>
      </vt:variant>
      <vt:variant>
        <vt:i4>1966143</vt:i4>
      </vt:variant>
      <vt:variant>
        <vt:i4>74</vt:i4>
      </vt:variant>
      <vt:variant>
        <vt:i4>0</vt:i4>
      </vt:variant>
      <vt:variant>
        <vt:i4>5</vt:i4>
      </vt:variant>
      <vt:variant>
        <vt:lpwstr/>
      </vt:variant>
      <vt:variant>
        <vt:lpwstr>_Toc358208461</vt:lpwstr>
      </vt:variant>
      <vt:variant>
        <vt:i4>1966143</vt:i4>
      </vt:variant>
      <vt:variant>
        <vt:i4>68</vt:i4>
      </vt:variant>
      <vt:variant>
        <vt:i4>0</vt:i4>
      </vt:variant>
      <vt:variant>
        <vt:i4>5</vt:i4>
      </vt:variant>
      <vt:variant>
        <vt:lpwstr/>
      </vt:variant>
      <vt:variant>
        <vt:lpwstr>_Toc358208460</vt:lpwstr>
      </vt:variant>
      <vt:variant>
        <vt:i4>1900607</vt:i4>
      </vt:variant>
      <vt:variant>
        <vt:i4>62</vt:i4>
      </vt:variant>
      <vt:variant>
        <vt:i4>0</vt:i4>
      </vt:variant>
      <vt:variant>
        <vt:i4>5</vt:i4>
      </vt:variant>
      <vt:variant>
        <vt:lpwstr/>
      </vt:variant>
      <vt:variant>
        <vt:lpwstr>_Toc358208459</vt:lpwstr>
      </vt:variant>
      <vt:variant>
        <vt:i4>1900607</vt:i4>
      </vt:variant>
      <vt:variant>
        <vt:i4>56</vt:i4>
      </vt:variant>
      <vt:variant>
        <vt:i4>0</vt:i4>
      </vt:variant>
      <vt:variant>
        <vt:i4>5</vt:i4>
      </vt:variant>
      <vt:variant>
        <vt:lpwstr/>
      </vt:variant>
      <vt:variant>
        <vt:lpwstr>_Toc358208458</vt:lpwstr>
      </vt:variant>
      <vt:variant>
        <vt:i4>1900607</vt:i4>
      </vt:variant>
      <vt:variant>
        <vt:i4>50</vt:i4>
      </vt:variant>
      <vt:variant>
        <vt:i4>0</vt:i4>
      </vt:variant>
      <vt:variant>
        <vt:i4>5</vt:i4>
      </vt:variant>
      <vt:variant>
        <vt:lpwstr/>
      </vt:variant>
      <vt:variant>
        <vt:lpwstr>_Toc358208457</vt:lpwstr>
      </vt:variant>
      <vt:variant>
        <vt:i4>1900607</vt:i4>
      </vt:variant>
      <vt:variant>
        <vt:i4>44</vt:i4>
      </vt:variant>
      <vt:variant>
        <vt:i4>0</vt:i4>
      </vt:variant>
      <vt:variant>
        <vt:i4>5</vt:i4>
      </vt:variant>
      <vt:variant>
        <vt:lpwstr/>
      </vt:variant>
      <vt:variant>
        <vt:lpwstr>_Toc358208456</vt:lpwstr>
      </vt:variant>
      <vt:variant>
        <vt:i4>1900607</vt:i4>
      </vt:variant>
      <vt:variant>
        <vt:i4>38</vt:i4>
      </vt:variant>
      <vt:variant>
        <vt:i4>0</vt:i4>
      </vt:variant>
      <vt:variant>
        <vt:i4>5</vt:i4>
      </vt:variant>
      <vt:variant>
        <vt:lpwstr/>
      </vt:variant>
      <vt:variant>
        <vt:lpwstr>_Toc358208455</vt:lpwstr>
      </vt:variant>
      <vt:variant>
        <vt:i4>1900607</vt:i4>
      </vt:variant>
      <vt:variant>
        <vt:i4>32</vt:i4>
      </vt:variant>
      <vt:variant>
        <vt:i4>0</vt:i4>
      </vt:variant>
      <vt:variant>
        <vt:i4>5</vt:i4>
      </vt:variant>
      <vt:variant>
        <vt:lpwstr/>
      </vt:variant>
      <vt:variant>
        <vt:lpwstr>_Toc358208454</vt:lpwstr>
      </vt:variant>
      <vt:variant>
        <vt:i4>1900607</vt:i4>
      </vt:variant>
      <vt:variant>
        <vt:i4>26</vt:i4>
      </vt:variant>
      <vt:variant>
        <vt:i4>0</vt:i4>
      </vt:variant>
      <vt:variant>
        <vt:i4>5</vt:i4>
      </vt:variant>
      <vt:variant>
        <vt:lpwstr/>
      </vt:variant>
      <vt:variant>
        <vt:lpwstr>_Toc358208453</vt:lpwstr>
      </vt:variant>
      <vt:variant>
        <vt:i4>1900607</vt:i4>
      </vt:variant>
      <vt:variant>
        <vt:i4>20</vt:i4>
      </vt:variant>
      <vt:variant>
        <vt:i4>0</vt:i4>
      </vt:variant>
      <vt:variant>
        <vt:i4>5</vt:i4>
      </vt:variant>
      <vt:variant>
        <vt:lpwstr/>
      </vt:variant>
      <vt:variant>
        <vt:lpwstr>_Toc358208452</vt:lpwstr>
      </vt:variant>
      <vt:variant>
        <vt:i4>1900607</vt:i4>
      </vt:variant>
      <vt:variant>
        <vt:i4>14</vt:i4>
      </vt:variant>
      <vt:variant>
        <vt:i4>0</vt:i4>
      </vt:variant>
      <vt:variant>
        <vt:i4>5</vt:i4>
      </vt:variant>
      <vt:variant>
        <vt:lpwstr/>
      </vt:variant>
      <vt:variant>
        <vt:lpwstr>_Toc358208451</vt:lpwstr>
      </vt:variant>
      <vt:variant>
        <vt:i4>1900607</vt:i4>
      </vt:variant>
      <vt:variant>
        <vt:i4>8</vt:i4>
      </vt:variant>
      <vt:variant>
        <vt:i4>0</vt:i4>
      </vt:variant>
      <vt:variant>
        <vt:i4>5</vt:i4>
      </vt:variant>
      <vt:variant>
        <vt:lpwstr/>
      </vt:variant>
      <vt:variant>
        <vt:lpwstr>_Toc358208450</vt:lpwstr>
      </vt:variant>
      <vt:variant>
        <vt:i4>1835071</vt:i4>
      </vt:variant>
      <vt:variant>
        <vt:i4>2</vt:i4>
      </vt:variant>
      <vt:variant>
        <vt:i4>0</vt:i4>
      </vt:variant>
      <vt:variant>
        <vt:i4>5</vt:i4>
      </vt:variant>
      <vt:variant>
        <vt:lpwstr/>
      </vt:variant>
      <vt:variant>
        <vt:lpwstr>_Toc358208449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Dx.x name</dc:title>
  <dc:subject/>
  <dc:creator>WP1</dc:creator>
  <cp:keywords/>
  <dc:description/>
  <cp:lastModifiedBy>Apitzsch, Jörg (bos)</cp:lastModifiedBy>
  <cp:revision>3</cp:revision>
  <dcterms:created xsi:type="dcterms:W3CDTF">2015-02-13T05:17:00Z</dcterms:created>
  <dcterms:modified xsi:type="dcterms:W3CDTF">2015-02-13T07:21:00Z</dcterms:modified>
</cp:coreProperties>
</file>